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C5" w:rsidRPr="008B7648" w:rsidRDefault="00CC0EC5" w:rsidP="00F511B5">
      <w:pPr>
        <w:spacing w:line="360" w:lineRule="auto"/>
        <w:jc w:val="both"/>
        <w:rPr>
          <w:rFonts w:ascii="Palatino Linotype" w:hAnsi="Palatino Linotype" w:cs="Arial"/>
        </w:rPr>
      </w:pPr>
      <w:r w:rsidRPr="008B7648">
        <w:rPr>
          <w:rFonts w:ascii="Palatino Linotype" w:hAnsi="Palatino Linotype" w:cs="Arial"/>
          <w:b/>
        </w:rPr>
        <w:t xml:space="preserve">VOTO </w:t>
      </w:r>
      <w:r w:rsidR="00E74831" w:rsidRPr="008B7648">
        <w:rPr>
          <w:rFonts w:ascii="Palatino Linotype" w:hAnsi="Palatino Linotype" w:cs="Arial"/>
          <w:b/>
        </w:rPr>
        <w:t>PARTICULAR</w:t>
      </w:r>
      <w:r w:rsidRPr="008B7648">
        <w:rPr>
          <w:rFonts w:ascii="Palatino Linotype" w:hAnsi="Palatino Linotype" w:cs="Arial"/>
          <w:b/>
        </w:rPr>
        <w:t xml:space="preserve"> DEL COMISIONADO JOSÉ GUADALUPE LUNA HERNÁN</w:t>
      </w:r>
      <w:r w:rsidR="00A42AB9" w:rsidRPr="008B7648">
        <w:rPr>
          <w:rFonts w:ascii="Palatino Linotype" w:hAnsi="Palatino Linotype" w:cs="Arial"/>
          <w:b/>
        </w:rPr>
        <w:t>DEZ</w:t>
      </w:r>
      <w:r w:rsidR="008D2422" w:rsidRPr="008B7648">
        <w:rPr>
          <w:rFonts w:ascii="Palatino Linotype" w:hAnsi="Palatino Linotype" w:cs="Arial"/>
          <w:b/>
        </w:rPr>
        <w:t xml:space="preserve"> EN EL RECURSO DE REVISIÓN 03410</w:t>
      </w:r>
      <w:r w:rsidRPr="008B7648">
        <w:rPr>
          <w:rFonts w:ascii="Palatino Linotype" w:hAnsi="Palatino Linotype" w:cs="Arial"/>
          <w:b/>
        </w:rPr>
        <w:t>/INFOEM/IP/RR/2018.</w:t>
      </w:r>
    </w:p>
    <w:p w:rsidR="00F436A4" w:rsidRPr="008B7648" w:rsidRDefault="00F436A4" w:rsidP="00F511B5">
      <w:pPr>
        <w:spacing w:line="360" w:lineRule="auto"/>
        <w:jc w:val="both"/>
        <w:rPr>
          <w:rFonts w:ascii="Palatino Linotype" w:hAnsi="Palatino Linotype" w:cs="Arial"/>
          <w:b/>
          <w:i/>
        </w:rPr>
      </w:pPr>
    </w:p>
    <w:p w:rsidR="00F436A4" w:rsidRPr="008B7648" w:rsidRDefault="003503B0" w:rsidP="00A42AB9">
      <w:pPr>
        <w:tabs>
          <w:tab w:val="left" w:pos="7020"/>
        </w:tabs>
        <w:spacing w:line="360" w:lineRule="auto"/>
        <w:jc w:val="both"/>
        <w:rPr>
          <w:rFonts w:ascii="Palatino Linotype" w:hAnsi="Palatino Linotype" w:cs="Arial"/>
          <w:b/>
        </w:rPr>
      </w:pPr>
      <w:r w:rsidRPr="008B7648">
        <w:rPr>
          <w:rFonts w:ascii="Palatino Linotype" w:hAnsi="Palatino Linotype" w:cs="Arial"/>
          <w:b/>
        </w:rPr>
        <w:t>RESUMEN DEL VOTO</w:t>
      </w:r>
      <w:r w:rsidR="00A42AB9" w:rsidRPr="008B7648">
        <w:rPr>
          <w:rFonts w:ascii="Palatino Linotype" w:hAnsi="Palatino Linotype" w:cs="Arial"/>
          <w:b/>
        </w:rPr>
        <w:tab/>
      </w:r>
    </w:p>
    <w:p w:rsidR="0044164A" w:rsidRPr="008B7648" w:rsidRDefault="00A42AB9" w:rsidP="00A42AB9">
      <w:pPr>
        <w:tabs>
          <w:tab w:val="left" w:pos="7020"/>
        </w:tabs>
        <w:spacing w:line="360" w:lineRule="auto"/>
        <w:jc w:val="both"/>
        <w:rPr>
          <w:rFonts w:ascii="Palatino Linotype" w:hAnsi="Palatino Linotype" w:cs="Arial"/>
          <w:b/>
          <w:bdr w:val="none" w:sz="0" w:space="0" w:color="auto"/>
        </w:rPr>
      </w:pPr>
      <w:r w:rsidRPr="008B7648">
        <w:rPr>
          <w:rFonts w:ascii="Palatino Linotype" w:hAnsi="Palatino Linotype" w:cs="Arial"/>
          <w:b/>
          <w:bdr w:val="none" w:sz="0" w:space="0" w:color="auto"/>
        </w:rPr>
        <w:tab/>
      </w:r>
    </w:p>
    <w:p w:rsidR="00CC0EC5" w:rsidRPr="008B7648" w:rsidRDefault="00CC0EC5" w:rsidP="00F511B5">
      <w:pPr>
        <w:spacing w:line="360" w:lineRule="auto"/>
        <w:jc w:val="both"/>
        <w:rPr>
          <w:rFonts w:ascii="Palatino Linotype" w:hAnsi="Palatino Linotype" w:cs="Arial"/>
        </w:rPr>
      </w:pPr>
      <w:r w:rsidRPr="008B7648">
        <w:rPr>
          <w:rFonts w:ascii="Palatino Linotype" w:hAnsi="Palatino Linotype" w:cs="Arial"/>
        </w:rPr>
        <w:t>Para que el Sujeto Obligado determine clasificar la información como res</w:t>
      </w:r>
      <w:bookmarkStart w:id="0" w:name="_GoBack"/>
      <w:bookmarkEnd w:id="0"/>
      <w:r w:rsidRPr="008B7648">
        <w:rPr>
          <w:rFonts w:ascii="Palatino Linotype" w:hAnsi="Palatino Linotype" w:cs="Arial"/>
        </w:rPr>
        <w:t xml:space="preserve">ervada, es necesario que éste actualice cuatro requisitos, de los cuales, si alguno de estos faltase, no es procedente su reserva, para esto, es menester que se realice un estudio minucioso de la información, ajustando en todo momento las circunstancias de modo tiempo y lugar a la hipótesis que configura la clasificación. </w:t>
      </w:r>
    </w:p>
    <w:p w:rsidR="00CC0EC5" w:rsidRPr="008B7648" w:rsidRDefault="00CC0EC5" w:rsidP="00F511B5">
      <w:pPr>
        <w:spacing w:line="360" w:lineRule="auto"/>
        <w:jc w:val="both"/>
        <w:rPr>
          <w:rFonts w:ascii="Palatino Linotype" w:hAnsi="Palatino Linotype" w:cs="Arial"/>
        </w:rPr>
      </w:pPr>
    </w:p>
    <w:p w:rsidR="00CC0EC5" w:rsidRPr="008B7648" w:rsidRDefault="00CC0EC5" w:rsidP="00F511B5">
      <w:pPr>
        <w:spacing w:line="360" w:lineRule="auto"/>
        <w:jc w:val="both"/>
        <w:rPr>
          <w:rFonts w:ascii="Palatino Linotype" w:hAnsi="Palatino Linotype" w:cs="Arial"/>
        </w:rPr>
      </w:pPr>
      <w:r w:rsidRPr="008B7648">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p>
    <w:p w:rsidR="00CC0EC5" w:rsidRPr="008B7648" w:rsidRDefault="00CC0EC5" w:rsidP="00F511B5">
      <w:pPr>
        <w:spacing w:line="360" w:lineRule="auto"/>
        <w:jc w:val="both"/>
        <w:rPr>
          <w:rFonts w:ascii="Palatino Linotype" w:hAnsi="Palatino Linotype" w:cs="Arial"/>
        </w:rPr>
      </w:pPr>
    </w:p>
    <w:p w:rsidR="00F436A4" w:rsidRPr="008B7648" w:rsidRDefault="00CC0EC5" w:rsidP="00F511B5">
      <w:pPr>
        <w:spacing w:line="360" w:lineRule="auto"/>
        <w:jc w:val="both"/>
        <w:rPr>
          <w:rFonts w:ascii="Palatino Linotype" w:hAnsi="Palatino Linotype" w:cs="Arial"/>
        </w:rPr>
      </w:pPr>
      <w:r w:rsidRPr="008B7648">
        <w:rPr>
          <w:rFonts w:ascii="Palatino Linotype" w:hAnsi="Palatino Linotype" w:cs="Arial"/>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CC0EC5" w:rsidRPr="008B7648" w:rsidRDefault="00CC0EC5" w:rsidP="00F511B5">
      <w:pPr>
        <w:spacing w:line="360" w:lineRule="auto"/>
        <w:jc w:val="both"/>
        <w:rPr>
          <w:rFonts w:ascii="Palatino Linotype" w:hAnsi="Palatino Linotype" w:cs="Arial"/>
        </w:rPr>
      </w:pP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8B7648" w:rsidRDefault="00F436A4" w:rsidP="00F511B5">
          <w:pPr>
            <w:spacing w:line="360" w:lineRule="auto"/>
            <w:rPr>
              <w:rFonts w:ascii="Palatino Linotype" w:hAnsi="Palatino Linotype"/>
              <w:color w:val="2E74B5" w:themeColor="accent1" w:themeShade="BF"/>
              <w:lang w:val="es-ES"/>
            </w:rPr>
          </w:pPr>
        </w:p>
        <w:p w:rsidR="00F436A4" w:rsidRPr="008B7648" w:rsidRDefault="00075028" w:rsidP="00F511B5">
          <w:pPr>
            <w:spacing w:line="360" w:lineRule="auto"/>
            <w:jc w:val="center"/>
            <w:rPr>
              <w:rFonts w:ascii="Palatino Linotype" w:hAnsi="Palatino Linotype"/>
              <w:b/>
              <w:color w:val="000000" w:themeColor="text1"/>
              <w:lang w:val="es-ES"/>
            </w:rPr>
          </w:pPr>
          <w:r w:rsidRPr="008B7648">
            <w:rPr>
              <w:rFonts w:ascii="Palatino Linotype" w:hAnsi="Palatino Linotype"/>
              <w:b/>
              <w:color w:val="000000" w:themeColor="text1"/>
              <w:lang w:val="es-ES"/>
            </w:rPr>
            <w:t>ÍNDICE</w:t>
          </w:r>
        </w:p>
        <w:p w:rsidR="00F436A4" w:rsidRPr="008B7648" w:rsidRDefault="00F436A4" w:rsidP="00F511B5">
          <w:pPr>
            <w:spacing w:line="360" w:lineRule="auto"/>
            <w:rPr>
              <w:rFonts w:ascii="Palatino Linotype" w:hAnsi="Palatino Linotype"/>
              <w:b/>
              <w:lang w:val="es-ES" w:eastAsia="es-MX"/>
            </w:rPr>
          </w:pPr>
        </w:p>
        <w:p w:rsidR="00BC0724" w:rsidRPr="008B7648" w:rsidRDefault="00B82DF9">
          <w:pPr>
            <w:pStyle w:val="TDC1"/>
            <w:rPr>
              <w:rFonts w:asciiTheme="minorHAnsi" w:eastAsiaTheme="minorEastAsia" w:hAnsiTheme="minorHAnsi" w:cstheme="minorBidi"/>
              <w:noProof/>
              <w:sz w:val="22"/>
              <w:szCs w:val="22"/>
              <w:bdr w:val="none" w:sz="0" w:space="0" w:color="auto"/>
              <w:lang w:eastAsia="es-MX"/>
            </w:rPr>
          </w:pPr>
          <w:r w:rsidRPr="008B7648">
            <w:rPr>
              <w:b/>
            </w:rPr>
            <w:fldChar w:fldCharType="begin"/>
          </w:r>
          <w:r w:rsidRPr="008B7648">
            <w:rPr>
              <w:b/>
            </w:rPr>
            <w:instrText xml:space="preserve"> TOC \o "1-3" \h \z \u </w:instrText>
          </w:r>
          <w:r w:rsidRPr="008B7648">
            <w:rPr>
              <w:b/>
            </w:rPr>
            <w:fldChar w:fldCharType="separate"/>
          </w:r>
          <w:hyperlink w:anchor="_Toc528784466" w:history="1">
            <w:r w:rsidR="00BC0724" w:rsidRPr="008B7648">
              <w:rPr>
                <w:rStyle w:val="Hipervnculo"/>
                <w:rFonts w:eastAsiaTheme="majorEastAsia" w:cstheme="majorBidi"/>
                <w:b/>
                <w:noProof/>
              </w:rPr>
              <w:t>I. Consideraciones Generales</w:t>
            </w:r>
            <w:r w:rsidR="00BC0724" w:rsidRPr="008B7648">
              <w:rPr>
                <w:noProof/>
                <w:webHidden/>
              </w:rPr>
              <w:tab/>
            </w:r>
            <w:r w:rsidR="00BC0724" w:rsidRPr="008B7648">
              <w:rPr>
                <w:noProof/>
                <w:webHidden/>
              </w:rPr>
              <w:fldChar w:fldCharType="begin"/>
            </w:r>
            <w:r w:rsidR="00BC0724" w:rsidRPr="008B7648">
              <w:rPr>
                <w:noProof/>
                <w:webHidden/>
              </w:rPr>
              <w:instrText xml:space="preserve"> PAGEREF _Toc528784466 \h </w:instrText>
            </w:r>
            <w:r w:rsidR="00BC0724" w:rsidRPr="008B7648">
              <w:rPr>
                <w:noProof/>
                <w:webHidden/>
              </w:rPr>
            </w:r>
            <w:r w:rsidR="00BC0724" w:rsidRPr="008B7648">
              <w:rPr>
                <w:noProof/>
                <w:webHidden/>
              </w:rPr>
              <w:fldChar w:fldCharType="separate"/>
            </w:r>
            <w:r w:rsidR="008063FC">
              <w:rPr>
                <w:noProof/>
                <w:webHidden/>
              </w:rPr>
              <w:t>3</w:t>
            </w:r>
            <w:r w:rsidR="00BC0724" w:rsidRPr="008B7648">
              <w:rPr>
                <w:noProof/>
                <w:webHidden/>
              </w:rPr>
              <w:fldChar w:fldCharType="end"/>
            </w:r>
          </w:hyperlink>
        </w:p>
        <w:p w:rsidR="00BC0724" w:rsidRPr="008B7648" w:rsidRDefault="00D04E4F">
          <w:pPr>
            <w:pStyle w:val="TDC1"/>
            <w:rPr>
              <w:rFonts w:asciiTheme="minorHAnsi" w:eastAsiaTheme="minorEastAsia" w:hAnsiTheme="minorHAnsi" w:cstheme="minorBidi"/>
              <w:noProof/>
              <w:sz w:val="22"/>
              <w:szCs w:val="22"/>
              <w:bdr w:val="none" w:sz="0" w:space="0" w:color="auto"/>
              <w:lang w:eastAsia="es-MX"/>
            </w:rPr>
          </w:pPr>
          <w:hyperlink w:anchor="_Toc528784467" w:history="1">
            <w:r w:rsidR="00BC0724" w:rsidRPr="008B7648">
              <w:rPr>
                <w:rStyle w:val="Hipervnculo"/>
                <w:noProof/>
              </w:rPr>
              <w:t>II.</w:t>
            </w:r>
            <w:r w:rsidR="00BC0724" w:rsidRPr="008B7648">
              <w:rPr>
                <w:rFonts w:asciiTheme="minorHAnsi" w:eastAsiaTheme="minorEastAsia" w:hAnsiTheme="minorHAnsi" w:cstheme="minorBidi"/>
                <w:noProof/>
                <w:sz w:val="22"/>
                <w:szCs w:val="22"/>
                <w:bdr w:val="none" w:sz="0" w:space="0" w:color="auto"/>
                <w:lang w:eastAsia="es-MX"/>
              </w:rPr>
              <w:tab/>
            </w:r>
            <w:r w:rsidR="00BC0724" w:rsidRPr="008B7648">
              <w:rPr>
                <w:rStyle w:val="Hipervnculo"/>
                <w:noProof/>
              </w:rPr>
              <w:t>De los requerimientos planteados en el recurso de revisión.</w:t>
            </w:r>
            <w:r w:rsidR="00BC0724" w:rsidRPr="008B7648">
              <w:rPr>
                <w:noProof/>
                <w:webHidden/>
              </w:rPr>
              <w:tab/>
            </w:r>
            <w:r w:rsidR="00BC0724" w:rsidRPr="008B7648">
              <w:rPr>
                <w:noProof/>
                <w:webHidden/>
              </w:rPr>
              <w:fldChar w:fldCharType="begin"/>
            </w:r>
            <w:r w:rsidR="00BC0724" w:rsidRPr="008B7648">
              <w:rPr>
                <w:noProof/>
                <w:webHidden/>
              </w:rPr>
              <w:instrText xml:space="preserve"> PAGEREF _Toc528784467 \h </w:instrText>
            </w:r>
            <w:r w:rsidR="00BC0724" w:rsidRPr="008B7648">
              <w:rPr>
                <w:noProof/>
                <w:webHidden/>
              </w:rPr>
            </w:r>
            <w:r w:rsidR="00BC0724" w:rsidRPr="008B7648">
              <w:rPr>
                <w:noProof/>
                <w:webHidden/>
              </w:rPr>
              <w:fldChar w:fldCharType="separate"/>
            </w:r>
            <w:r w:rsidR="008063FC">
              <w:rPr>
                <w:noProof/>
                <w:webHidden/>
              </w:rPr>
              <w:t>4</w:t>
            </w:r>
            <w:r w:rsidR="00BC0724" w:rsidRPr="008B7648">
              <w:rPr>
                <w:noProof/>
                <w:webHidden/>
              </w:rPr>
              <w:fldChar w:fldCharType="end"/>
            </w:r>
          </w:hyperlink>
        </w:p>
        <w:p w:rsidR="00BC0724" w:rsidRPr="008B7648" w:rsidRDefault="00D04E4F">
          <w:pPr>
            <w:pStyle w:val="TDC1"/>
            <w:rPr>
              <w:rFonts w:asciiTheme="minorHAnsi" w:eastAsiaTheme="minorEastAsia" w:hAnsiTheme="minorHAnsi" w:cstheme="minorBidi"/>
              <w:noProof/>
              <w:sz w:val="22"/>
              <w:szCs w:val="22"/>
              <w:bdr w:val="none" w:sz="0" w:space="0" w:color="auto"/>
              <w:lang w:eastAsia="es-MX"/>
            </w:rPr>
          </w:pPr>
          <w:hyperlink w:anchor="_Toc528784468" w:history="1">
            <w:r w:rsidR="00BC0724" w:rsidRPr="008B7648">
              <w:rPr>
                <w:rStyle w:val="Hipervnculo"/>
                <w:noProof/>
              </w:rPr>
              <w:t>III.</w:t>
            </w:r>
            <w:r w:rsidR="00BC0724" w:rsidRPr="008B7648">
              <w:rPr>
                <w:rFonts w:asciiTheme="minorHAnsi" w:eastAsiaTheme="minorEastAsia" w:hAnsiTheme="minorHAnsi" w:cstheme="minorBidi"/>
                <w:noProof/>
                <w:sz w:val="22"/>
                <w:szCs w:val="22"/>
                <w:bdr w:val="none" w:sz="0" w:space="0" w:color="auto"/>
                <w:lang w:eastAsia="es-MX"/>
              </w:rPr>
              <w:tab/>
            </w:r>
            <w:r w:rsidR="00BC0724" w:rsidRPr="008B7648">
              <w:rPr>
                <w:rStyle w:val="Hipervnculo"/>
                <w:noProof/>
              </w:rPr>
              <w:t>De la información que se solicitó.</w:t>
            </w:r>
            <w:r w:rsidR="00BC0724" w:rsidRPr="008B7648">
              <w:rPr>
                <w:noProof/>
                <w:webHidden/>
              </w:rPr>
              <w:tab/>
            </w:r>
            <w:r w:rsidR="00BC0724" w:rsidRPr="008B7648">
              <w:rPr>
                <w:noProof/>
                <w:webHidden/>
              </w:rPr>
              <w:fldChar w:fldCharType="begin"/>
            </w:r>
            <w:r w:rsidR="00BC0724" w:rsidRPr="008B7648">
              <w:rPr>
                <w:noProof/>
                <w:webHidden/>
              </w:rPr>
              <w:instrText xml:space="preserve"> PAGEREF _Toc528784468 \h </w:instrText>
            </w:r>
            <w:r w:rsidR="00BC0724" w:rsidRPr="008B7648">
              <w:rPr>
                <w:noProof/>
                <w:webHidden/>
              </w:rPr>
            </w:r>
            <w:r w:rsidR="00BC0724" w:rsidRPr="008B7648">
              <w:rPr>
                <w:noProof/>
                <w:webHidden/>
              </w:rPr>
              <w:fldChar w:fldCharType="separate"/>
            </w:r>
            <w:r w:rsidR="008063FC">
              <w:rPr>
                <w:noProof/>
                <w:webHidden/>
              </w:rPr>
              <w:t>6</w:t>
            </w:r>
            <w:r w:rsidR="00BC0724" w:rsidRPr="008B7648">
              <w:rPr>
                <w:noProof/>
                <w:webHidden/>
              </w:rPr>
              <w:fldChar w:fldCharType="end"/>
            </w:r>
          </w:hyperlink>
        </w:p>
        <w:p w:rsidR="00BC0724" w:rsidRPr="008B7648" w:rsidRDefault="00D04E4F">
          <w:pPr>
            <w:pStyle w:val="TDC1"/>
            <w:rPr>
              <w:rFonts w:asciiTheme="minorHAnsi" w:eastAsiaTheme="minorEastAsia" w:hAnsiTheme="minorHAnsi" w:cstheme="minorBidi"/>
              <w:noProof/>
              <w:sz w:val="22"/>
              <w:szCs w:val="22"/>
              <w:bdr w:val="none" w:sz="0" w:space="0" w:color="auto"/>
              <w:lang w:eastAsia="es-MX"/>
            </w:rPr>
          </w:pPr>
          <w:hyperlink w:anchor="_Toc528784469" w:history="1">
            <w:r w:rsidR="00BC0724" w:rsidRPr="008B7648">
              <w:rPr>
                <w:rStyle w:val="Hipervnculo"/>
                <w:noProof/>
              </w:rPr>
              <w:t>IV.</w:t>
            </w:r>
            <w:r w:rsidR="00BC0724" w:rsidRPr="008B7648">
              <w:rPr>
                <w:rFonts w:asciiTheme="minorHAnsi" w:eastAsiaTheme="minorEastAsia" w:hAnsiTheme="minorHAnsi" w:cstheme="minorBidi"/>
                <w:noProof/>
                <w:sz w:val="22"/>
                <w:szCs w:val="22"/>
                <w:bdr w:val="none" w:sz="0" w:space="0" w:color="auto"/>
                <w:lang w:eastAsia="es-MX"/>
              </w:rPr>
              <w:tab/>
            </w:r>
            <w:r w:rsidR="00BC0724" w:rsidRPr="008B7648">
              <w:rPr>
                <w:rStyle w:val="Hipervnculo"/>
                <w:noProof/>
              </w:rPr>
              <w:t>Conclusión.</w:t>
            </w:r>
            <w:r w:rsidR="00BC0724" w:rsidRPr="008B7648">
              <w:rPr>
                <w:noProof/>
                <w:webHidden/>
              </w:rPr>
              <w:tab/>
            </w:r>
            <w:r w:rsidR="00BC0724" w:rsidRPr="008B7648">
              <w:rPr>
                <w:noProof/>
                <w:webHidden/>
              </w:rPr>
              <w:fldChar w:fldCharType="begin"/>
            </w:r>
            <w:r w:rsidR="00BC0724" w:rsidRPr="008B7648">
              <w:rPr>
                <w:noProof/>
                <w:webHidden/>
              </w:rPr>
              <w:instrText xml:space="preserve"> PAGEREF _Toc528784469 \h </w:instrText>
            </w:r>
            <w:r w:rsidR="00BC0724" w:rsidRPr="008B7648">
              <w:rPr>
                <w:noProof/>
                <w:webHidden/>
              </w:rPr>
            </w:r>
            <w:r w:rsidR="00BC0724" w:rsidRPr="008B7648">
              <w:rPr>
                <w:noProof/>
                <w:webHidden/>
              </w:rPr>
              <w:fldChar w:fldCharType="separate"/>
            </w:r>
            <w:r w:rsidR="008063FC">
              <w:rPr>
                <w:noProof/>
                <w:webHidden/>
              </w:rPr>
              <w:t>13</w:t>
            </w:r>
            <w:r w:rsidR="00BC0724" w:rsidRPr="008B7648">
              <w:rPr>
                <w:noProof/>
                <w:webHidden/>
              </w:rPr>
              <w:fldChar w:fldCharType="end"/>
            </w:r>
          </w:hyperlink>
        </w:p>
        <w:p w:rsidR="00A3395D" w:rsidRPr="008B7648" w:rsidRDefault="00B82DF9" w:rsidP="00F511B5">
          <w:pPr>
            <w:spacing w:line="360" w:lineRule="auto"/>
            <w:rPr>
              <w:rFonts w:ascii="Palatino Linotype" w:hAnsi="Palatino Linotype"/>
              <w:b/>
              <w:bCs/>
              <w:color w:val="000000" w:themeColor="text1"/>
            </w:rPr>
          </w:pPr>
          <w:r w:rsidRPr="008B7648">
            <w:rPr>
              <w:rFonts w:ascii="Palatino Linotype" w:hAnsi="Palatino Linotype"/>
              <w:b/>
              <w:bCs/>
              <w:color w:val="000000" w:themeColor="text1"/>
            </w:rPr>
            <w:fldChar w:fldCharType="end"/>
          </w:r>
        </w:p>
      </w:sdtContent>
    </w:sdt>
    <w:p w:rsidR="000D714D" w:rsidRPr="008B7648" w:rsidRDefault="000D714D" w:rsidP="00F511B5">
      <w:pPr>
        <w:spacing w:line="360" w:lineRule="auto"/>
        <w:rPr>
          <w:rFonts w:ascii="Palatino Linotype" w:hAnsi="Palatino Linotype"/>
          <w:b/>
          <w:bCs/>
          <w:color w:val="000000" w:themeColor="text1"/>
        </w:rPr>
      </w:pPr>
    </w:p>
    <w:p w:rsidR="000D714D" w:rsidRPr="008B7648" w:rsidRDefault="008B7648" w:rsidP="00F511B5">
      <w:pPr>
        <w:spacing w:line="360" w:lineRule="auto"/>
        <w:rPr>
          <w:rFonts w:ascii="Palatino Linotype" w:hAnsi="Palatino Linotype"/>
          <w:b/>
          <w:bCs/>
          <w:color w:val="000000" w:themeColor="text1"/>
        </w:rPr>
      </w:pPr>
      <w:r>
        <w:rPr>
          <w:rFonts w:ascii="Palatino Linotype" w:hAnsi="Palatino Linotype"/>
          <w:b/>
          <w:bCs/>
          <w:noProof/>
          <w:color w:val="000000" w:themeColor="text1"/>
          <w:bdr w:val="none" w:sz="0" w:space="0" w:color="auto"/>
          <w:lang w:eastAsia="es-MX"/>
        </w:rPr>
        <mc:AlternateContent>
          <mc:Choice Requires="wps">
            <w:drawing>
              <wp:anchor distT="0" distB="0" distL="114300" distR="114300" simplePos="0" relativeHeight="251659264" behindDoc="0" locked="0" layoutInCell="1" allowOverlap="1">
                <wp:simplePos x="0" y="0"/>
                <wp:positionH relativeFrom="column">
                  <wp:posOffset>415290</wp:posOffset>
                </wp:positionH>
                <wp:positionV relativeFrom="paragraph">
                  <wp:posOffset>43815</wp:posOffset>
                </wp:positionV>
                <wp:extent cx="5048250" cy="4419600"/>
                <wp:effectExtent l="0" t="0" r="19050" b="19050"/>
                <wp:wrapNone/>
                <wp:docPr id="1" name="Conector recto 1"/>
                <wp:cNvGraphicFramePr/>
                <a:graphic xmlns:a="http://schemas.openxmlformats.org/drawingml/2006/main">
                  <a:graphicData uri="http://schemas.microsoft.com/office/word/2010/wordprocessingShape">
                    <wps:wsp>
                      <wps:cNvCnPr/>
                      <wps:spPr>
                        <a:xfrm>
                          <a:off x="0" y="0"/>
                          <a:ext cx="5048250" cy="4419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41DCD5"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7pt,3.45pt" to="430.2pt,3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" strokecolor="#5b9bd5 [3204]" strokeweight=".5pt">
                <v:stroke joinstyle="miter"/>
              </v:line>
            </w:pict>
          </mc:Fallback>
        </mc:AlternateContent>
      </w:r>
    </w:p>
    <w:p w:rsidR="000D714D" w:rsidRPr="008B7648" w:rsidRDefault="000D714D" w:rsidP="00F511B5">
      <w:pPr>
        <w:spacing w:line="360" w:lineRule="auto"/>
        <w:rPr>
          <w:rFonts w:ascii="Palatino Linotype" w:hAnsi="Palatino Linotype"/>
          <w:b/>
          <w:bCs/>
          <w:color w:val="000000" w:themeColor="text1"/>
        </w:rPr>
      </w:pPr>
    </w:p>
    <w:p w:rsidR="000D714D" w:rsidRPr="008B7648" w:rsidRDefault="000D714D" w:rsidP="00F511B5">
      <w:pPr>
        <w:spacing w:line="360" w:lineRule="auto"/>
        <w:rPr>
          <w:rFonts w:ascii="Palatino Linotype" w:hAnsi="Palatino Linotype"/>
          <w:b/>
          <w:bCs/>
          <w:color w:val="000000" w:themeColor="text1"/>
        </w:rPr>
      </w:pPr>
    </w:p>
    <w:p w:rsidR="000D714D" w:rsidRPr="008B7648" w:rsidRDefault="000D714D" w:rsidP="00F511B5">
      <w:pPr>
        <w:spacing w:line="360" w:lineRule="auto"/>
        <w:rPr>
          <w:rFonts w:ascii="Palatino Linotype" w:hAnsi="Palatino Linotype"/>
          <w:b/>
          <w:bCs/>
          <w:color w:val="000000" w:themeColor="text1"/>
        </w:rPr>
      </w:pPr>
    </w:p>
    <w:p w:rsidR="000D714D" w:rsidRPr="008B7648" w:rsidRDefault="000D714D" w:rsidP="00F511B5">
      <w:pPr>
        <w:spacing w:line="360" w:lineRule="auto"/>
        <w:rPr>
          <w:rFonts w:ascii="Palatino Linotype" w:hAnsi="Palatino Linotype"/>
          <w:b/>
          <w:bCs/>
          <w:color w:val="000000" w:themeColor="text1"/>
        </w:rPr>
      </w:pPr>
    </w:p>
    <w:p w:rsidR="000D714D" w:rsidRPr="008B7648" w:rsidRDefault="000D714D" w:rsidP="00F511B5">
      <w:pPr>
        <w:spacing w:line="360" w:lineRule="auto"/>
        <w:rPr>
          <w:rFonts w:ascii="Palatino Linotype" w:hAnsi="Palatino Linotype"/>
          <w:b/>
          <w:bCs/>
          <w:color w:val="000000" w:themeColor="text1"/>
        </w:rPr>
      </w:pPr>
    </w:p>
    <w:p w:rsidR="000D714D" w:rsidRPr="008B7648" w:rsidRDefault="000D714D" w:rsidP="00F511B5">
      <w:pPr>
        <w:spacing w:line="360" w:lineRule="auto"/>
        <w:rPr>
          <w:rFonts w:ascii="Palatino Linotype" w:hAnsi="Palatino Linotype"/>
          <w:b/>
          <w:bCs/>
          <w:color w:val="000000" w:themeColor="text1"/>
        </w:rPr>
      </w:pPr>
    </w:p>
    <w:p w:rsidR="006E2911" w:rsidRPr="008B7648" w:rsidRDefault="006E2911" w:rsidP="00F511B5">
      <w:pPr>
        <w:spacing w:line="360" w:lineRule="auto"/>
        <w:rPr>
          <w:rFonts w:ascii="Palatino Linotype" w:hAnsi="Palatino Linotype"/>
          <w:b/>
          <w:bCs/>
          <w:color w:val="000000" w:themeColor="text1"/>
        </w:rPr>
      </w:pPr>
    </w:p>
    <w:p w:rsidR="006E2911" w:rsidRPr="008B7648" w:rsidRDefault="006E2911" w:rsidP="00F511B5">
      <w:pPr>
        <w:spacing w:line="360" w:lineRule="auto"/>
        <w:rPr>
          <w:rFonts w:ascii="Palatino Linotype" w:hAnsi="Palatino Linotype"/>
          <w:b/>
          <w:bCs/>
          <w:color w:val="000000" w:themeColor="text1"/>
        </w:rPr>
      </w:pPr>
    </w:p>
    <w:p w:rsidR="006E2911" w:rsidRPr="008B7648" w:rsidRDefault="006E2911" w:rsidP="00F511B5">
      <w:pPr>
        <w:spacing w:line="360" w:lineRule="auto"/>
        <w:rPr>
          <w:rFonts w:ascii="Palatino Linotype" w:hAnsi="Palatino Linotype"/>
          <w:b/>
          <w:bCs/>
          <w:color w:val="000000" w:themeColor="text1"/>
        </w:rPr>
      </w:pPr>
    </w:p>
    <w:p w:rsidR="0044164A" w:rsidRPr="008B7648" w:rsidRDefault="0044164A" w:rsidP="00F511B5">
      <w:pPr>
        <w:spacing w:line="360" w:lineRule="auto"/>
        <w:rPr>
          <w:rFonts w:ascii="Palatino Linotype" w:hAnsi="Palatino Linotype"/>
          <w:b/>
          <w:bCs/>
          <w:color w:val="000000" w:themeColor="text1"/>
        </w:rPr>
      </w:pPr>
    </w:p>
    <w:p w:rsidR="00075028" w:rsidRPr="008B7648" w:rsidRDefault="00075028" w:rsidP="00F511B5">
      <w:pPr>
        <w:spacing w:line="360" w:lineRule="auto"/>
        <w:rPr>
          <w:rFonts w:ascii="Palatino Linotype" w:hAnsi="Palatino Linotype"/>
          <w:b/>
          <w:bCs/>
          <w:color w:val="000000" w:themeColor="text1"/>
        </w:rPr>
      </w:pPr>
    </w:p>
    <w:p w:rsidR="00A3395D" w:rsidRPr="008B7648" w:rsidRDefault="00343467" w:rsidP="00F511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1" w:name="_Toc493504860"/>
      <w:bookmarkStart w:id="2" w:name="_Toc528784466"/>
      <w:r w:rsidRPr="008B7648">
        <w:rPr>
          <w:rFonts w:ascii="Palatino Linotype" w:eastAsiaTheme="majorEastAsia" w:hAnsi="Palatino Linotype" w:cstheme="majorBidi"/>
          <w:b/>
        </w:rPr>
        <w:lastRenderedPageBreak/>
        <w:t xml:space="preserve">I. </w:t>
      </w:r>
      <w:r w:rsidR="00A3395D" w:rsidRPr="008B7648">
        <w:rPr>
          <w:rFonts w:ascii="Palatino Linotype" w:eastAsiaTheme="majorEastAsia" w:hAnsi="Palatino Linotype" w:cstheme="majorBidi"/>
          <w:b/>
        </w:rPr>
        <w:t>Consideraciones Generales</w:t>
      </w:r>
      <w:bookmarkEnd w:id="1"/>
      <w:bookmarkEnd w:id="2"/>
    </w:p>
    <w:p w:rsidR="00A3395D" w:rsidRPr="008B7648" w:rsidRDefault="00A3395D"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CC0EC5" w:rsidRPr="008B7648"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8B7648">
        <w:rPr>
          <w:rFonts w:ascii="Palatino Linotype" w:eastAsia="Times New Roman" w:hAnsi="Palatino Linotype" w:cs="Arial"/>
          <w:lang w:val="es-ES_tradnl"/>
        </w:rPr>
        <w:t xml:space="preserve">He concurrido con mi voto </w:t>
      </w:r>
      <w:r w:rsidR="00E74831" w:rsidRPr="008B7648">
        <w:rPr>
          <w:rFonts w:ascii="Palatino Linotype" w:eastAsia="Times New Roman" w:hAnsi="Palatino Linotype" w:cs="Arial"/>
          <w:lang w:val="es-ES_tradnl"/>
        </w:rPr>
        <w:t>particular</w:t>
      </w:r>
      <w:r w:rsidR="0044164A" w:rsidRPr="008B7648">
        <w:rPr>
          <w:rFonts w:ascii="Palatino Linotype" w:eastAsia="Times New Roman" w:hAnsi="Palatino Linotype" w:cs="Arial"/>
          <w:lang w:val="es-ES_tradnl"/>
        </w:rPr>
        <w:t xml:space="preserve"> </w:t>
      </w:r>
      <w:r w:rsidRPr="008B7648">
        <w:rPr>
          <w:rFonts w:ascii="Palatino Linotype" w:eastAsia="Times New Roman" w:hAnsi="Palatino Linotype" w:cs="Arial"/>
          <w:lang w:val="es-ES_tradnl"/>
        </w:rPr>
        <w:t xml:space="preserve">de la presente resolución emitida </w:t>
      </w:r>
      <w:r w:rsidRPr="008B7648">
        <w:rPr>
          <w:rFonts w:ascii="Palatino Linotype" w:hAnsi="Palatino Linotype" w:cs="Arial"/>
        </w:rPr>
        <w:t xml:space="preserve">por el Pleno del Instituto de Transparencia, Acceso a la Información Pública y Protección de Datos Personales del Estado de México y Municipios, en su Trigésima </w:t>
      </w:r>
      <w:r w:rsidR="00A42AB9" w:rsidRPr="008B7648">
        <w:rPr>
          <w:rFonts w:ascii="Palatino Linotype" w:hAnsi="Palatino Linotype" w:cs="Arial"/>
        </w:rPr>
        <w:t>Octava</w:t>
      </w:r>
      <w:r w:rsidRPr="008B7648">
        <w:rPr>
          <w:rFonts w:ascii="Palatino Linotype" w:hAnsi="Palatino Linotype" w:cs="Arial"/>
        </w:rPr>
        <w:t xml:space="preserve"> Sesión Ordinaria de fecha </w:t>
      </w:r>
      <w:r w:rsidR="008D2422" w:rsidRPr="008B7648">
        <w:rPr>
          <w:rFonts w:ascii="Palatino Linotype" w:hAnsi="Palatino Linotype" w:cs="Arial"/>
        </w:rPr>
        <w:t>treinta y uno</w:t>
      </w:r>
      <w:r w:rsidRPr="008B7648">
        <w:rPr>
          <w:rFonts w:ascii="Palatino Linotype" w:hAnsi="Palatino Linotype" w:cs="Arial"/>
        </w:rPr>
        <w:t xml:space="preserve"> (</w:t>
      </w:r>
      <w:r w:rsidR="008D2422" w:rsidRPr="008B7648">
        <w:rPr>
          <w:rFonts w:ascii="Palatino Linotype" w:hAnsi="Palatino Linotype" w:cs="Arial"/>
        </w:rPr>
        <w:t>31</w:t>
      </w:r>
      <w:r w:rsidRPr="008B7648">
        <w:rPr>
          <w:rFonts w:ascii="Palatino Linotype" w:hAnsi="Palatino Linotype" w:cs="Arial"/>
        </w:rPr>
        <w:t xml:space="preserve">) de </w:t>
      </w:r>
      <w:r w:rsidR="00A42AB9" w:rsidRPr="008B7648">
        <w:rPr>
          <w:rFonts w:ascii="Palatino Linotype" w:hAnsi="Palatino Linotype" w:cs="Arial"/>
        </w:rPr>
        <w:t>octubre</w:t>
      </w:r>
      <w:r w:rsidRPr="008B7648">
        <w:rPr>
          <w:rFonts w:ascii="Palatino Linotype" w:hAnsi="Palatino Linotype" w:cs="Arial"/>
        </w:rPr>
        <w:t xml:space="preserve"> de dos mil dieciocho, en el recurso de revisión promovido por</w:t>
      </w:r>
      <w:r w:rsidRPr="008B7648">
        <w:rPr>
          <w:rFonts w:ascii="Palatino Linotype" w:hAnsi="Palatino Linotype" w:cs="Arial"/>
          <w:b/>
        </w:rPr>
        <w:t xml:space="preserve"> </w:t>
      </w:r>
      <w:r w:rsidR="00441C40" w:rsidRPr="00441C40">
        <w:rPr>
          <w:rFonts w:ascii="Palatino Linotype" w:hAnsi="Palatino Linotype" w:cs="Arial"/>
          <w:b/>
          <w:highlight w:val="black"/>
        </w:rPr>
        <w:t>----------</w:t>
      </w:r>
      <w:r w:rsidR="00441C40">
        <w:rPr>
          <w:rFonts w:ascii="Palatino Linotype" w:hAnsi="Palatino Linotype" w:cs="Arial"/>
          <w:b/>
          <w:highlight w:val="black"/>
        </w:rPr>
        <w:t>----</w:t>
      </w:r>
      <w:r w:rsidR="00441C40" w:rsidRPr="00441C40">
        <w:rPr>
          <w:rFonts w:ascii="Palatino Linotype" w:hAnsi="Palatino Linotype" w:cs="Arial"/>
          <w:b/>
          <w:highlight w:val="black"/>
        </w:rPr>
        <w:t>-----------------</w:t>
      </w:r>
      <w:r w:rsidRPr="008B7648">
        <w:rPr>
          <w:rFonts w:ascii="Palatino Linotype" w:hAnsi="Palatino Linotype" w:cs="Arial"/>
        </w:rPr>
        <w:t>,</w:t>
      </w:r>
      <w:r w:rsidRPr="008B7648">
        <w:rPr>
          <w:rFonts w:ascii="Palatino Linotype" w:hAnsi="Palatino Linotype" w:cs="Arial"/>
          <w:b/>
        </w:rPr>
        <w:t xml:space="preserve"> </w:t>
      </w:r>
      <w:r w:rsidR="008B7648">
        <w:rPr>
          <w:rFonts w:ascii="Palatino Linotype" w:hAnsi="Palatino Linotype" w:cs="Arial"/>
        </w:rPr>
        <w:t>en contra de la</w:t>
      </w:r>
      <w:r w:rsidR="00F511B5" w:rsidRPr="008B7648">
        <w:rPr>
          <w:rFonts w:ascii="Palatino Linotype" w:hAnsi="Palatino Linotype" w:cs="Arial"/>
        </w:rPr>
        <w:t xml:space="preserve"> respuesta del </w:t>
      </w:r>
      <w:r w:rsidR="008D2422" w:rsidRPr="008B7648">
        <w:rPr>
          <w:rFonts w:ascii="Palatino Linotype" w:eastAsia="Calibri" w:hAnsi="Palatino Linotype"/>
          <w:b/>
          <w:lang w:val="es-ES" w:eastAsia="es-ES"/>
        </w:rPr>
        <w:t>Poder Judicial</w:t>
      </w:r>
      <w:r w:rsidRPr="008B7648">
        <w:rPr>
          <w:rFonts w:ascii="Palatino Linotype" w:hAnsi="Palatino Linotype" w:cs="Arial"/>
        </w:rPr>
        <w:t xml:space="preserve">, procedimiento al que se le asignó el número de expediente </w:t>
      </w:r>
      <w:r w:rsidR="008D2422" w:rsidRPr="008B7648">
        <w:rPr>
          <w:rFonts w:ascii="Palatino Linotype" w:eastAsia="Times New Roman" w:hAnsi="Palatino Linotype" w:cs="Arial"/>
          <w:b/>
          <w:bCs/>
          <w:lang w:eastAsia="es-ES"/>
        </w:rPr>
        <w:t>03410</w:t>
      </w:r>
      <w:r w:rsidRPr="008B7648">
        <w:rPr>
          <w:rFonts w:ascii="Palatino Linotype" w:eastAsia="Times New Roman" w:hAnsi="Palatino Linotype" w:cs="Arial"/>
          <w:b/>
          <w:bCs/>
          <w:lang w:eastAsia="es-ES"/>
        </w:rPr>
        <w:t>/INFOEM/IP/RR/2018.</w:t>
      </w:r>
    </w:p>
    <w:p w:rsidR="003331EE" w:rsidRPr="008B7648" w:rsidRDefault="003331EE"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A42AB9" w:rsidRPr="008B7648" w:rsidRDefault="00A42AB9"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8B7648">
        <w:rPr>
          <w:rFonts w:ascii="Palatino Linotype" w:hAnsi="Palatino Linotype" w:cs="Arial"/>
        </w:rPr>
        <w:t xml:space="preserve">Resultan </w:t>
      </w:r>
      <w:r w:rsidR="008D2422" w:rsidRPr="008B7648">
        <w:rPr>
          <w:rFonts w:ascii="Palatino Linotype" w:hAnsi="Palatino Linotype" w:cs="Arial"/>
        </w:rPr>
        <w:t xml:space="preserve">parcialmente </w:t>
      </w:r>
      <w:r w:rsidR="00CC0EC5" w:rsidRPr="008B7648">
        <w:rPr>
          <w:rFonts w:ascii="Palatino Linotype" w:hAnsi="Palatino Linotype" w:cs="Arial"/>
        </w:rPr>
        <w:t xml:space="preserve">fundados los motivos de inconformidad que arguye </w:t>
      </w:r>
      <w:r w:rsidR="00CC0EC5" w:rsidRPr="008B7648">
        <w:rPr>
          <w:rFonts w:ascii="Palatino Linotype" w:hAnsi="Palatino Linotype" w:cs="Arial"/>
          <w:b/>
        </w:rPr>
        <w:t>el recurrente</w:t>
      </w:r>
      <w:r w:rsidR="00CC0EC5" w:rsidRPr="008B7648">
        <w:rPr>
          <w:rFonts w:ascii="Palatino Linotype" w:hAnsi="Palatino Linotype" w:cs="Arial"/>
        </w:rPr>
        <w:t xml:space="preserve">, en términos del Considerando </w:t>
      </w:r>
      <w:r w:rsidR="008D2422" w:rsidRPr="008B7648">
        <w:rPr>
          <w:rFonts w:ascii="Palatino Linotype" w:hAnsi="Palatino Linotype" w:cs="Arial"/>
        </w:rPr>
        <w:t>Cuarto</w:t>
      </w:r>
      <w:r w:rsidR="00CC0EC5" w:rsidRPr="008B7648">
        <w:rPr>
          <w:rFonts w:ascii="Palatino Linotype" w:hAnsi="Palatino Linotype" w:cs="Arial"/>
        </w:rPr>
        <w:t xml:space="preserve"> de la resolución, por lo que la ponencia encargada consideró </w:t>
      </w:r>
      <w:r w:rsidR="008D2422" w:rsidRPr="008B7648">
        <w:rPr>
          <w:rFonts w:ascii="Palatino Linotype" w:hAnsi="Palatino Linotype" w:cs="Arial"/>
          <w:b/>
        </w:rPr>
        <w:t>MODIFICAR</w:t>
      </w:r>
      <w:r w:rsidR="008D2422" w:rsidRPr="008B7648">
        <w:rPr>
          <w:rFonts w:ascii="Palatino Linotype" w:hAnsi="Palatino Linotype" w:cs="Arial"/>
        </w:rPr>
        <w:t xml:space="preserve"> la respuesta y </w:t>
      </w:r>
      <w:r w:rsidR="008D2422" w:rsidRPr="008B7648">
        <w:rPr>
          <w:rFonts w:ascii="Palatino Linotype" w:hAnsi="Palatino Linotype" w:cs="Arial"/>
          <w:b/>
        </w:rPr>
        <w:t>ORD</w:t>
      </w:r>
      <w:r w:rsidRPr="008B7648">
        <w:rPr>
          <w:rFonts w:ascii="Palatino Linotype" w:hAnsi="Palatino Linotype" w:cs="Arial"/>
          <w:b/>
        </w:rPr>
        <w:t>ENAR la entrega de la siguiente información:</w:t>
      </w:r>
    </w:p>
    <w:p w:rsidR="00A42AB9" w:rsidRPr="008B7648" w:rsidRDefault="00A42AB9" w:rsidP="00A42AB9">
      <w:pPr>
        <w:pStyle w:val="Prrafodelista"/>
        <w:rPr>
          <w:rFonts w:ascii="Palatino Linotype" w:hAnsi="Palatino Linotype" w:cs="Arial"/>
        </w:rPr>
      </w:pPr>
    </w:p>
    <w:p w:rsidR="008D2422" w:rsidRPr="008B7648" w:rsidRDefault="008D2422" w:rsidP="008D2422">
      <w:pPr>
        <w:pStyle w:val="Prrafodelista"/>
        <w:numPr>
          <w:ilvl w:val="0"/>
          <w:numId w:val="48"/>
        </w:numPr>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ind w:left="567" w:firstLine="0"/>
        <w:contextualSpacing w:val="0"/>
        <w:jc w:val="both"/>
        <w:rPr>
          <w:rFonts w:ascii="Palatino Linotype" w:hAnsi="Palatino Linotype" w:cs="Arial"/>
          <w:i/>
          <w:sz w:val="22"/>
        </w:rPr>
      </w:pPr>
      <w:r w:rsidRPr="008B7648">
        <w:rPr>
          <w:rFonts w:ascii="Palatino Linotype" w:hAnsi="Palatino Linotype"/>
          <w:i/>
          <w:sz w:val="22"/>
          <w:lang w:val="es-ES_tradnl"/>
        </w:rPr>
        <w:t xml:space="preserve">Consideraciones y puntos resolutivos de las quejas o denuncias promovidas en contra de los jueces de lo familiar adscritos al Distrito Judicial de Toluca en las que se haya determinado responsabilidad y en las que no se haya determinado responsabilidad, del periodo comprendido del primero de enero de dos mil diez al veinticuatro de agosto de dos mil dieciocho. </w:t>
      </w:r>
    </w:p>
    <w:p w:rsidR="00196F24" w:rsidRPr="008B7648" w:rsidRDefault="00196F24" w:rsidP="008D2422">
      <w:pPr>
        <w:pStyle w:val="Prrafodelista"/>
        <w:spacing w:before="240" w:line="360" w:lineRule="auto"/>
        <w:ind w:left="567"/>
        <w:jc w:val="both"/>
        <w:rPr>
          <w:rFonts w:ascii="Palatino Linotype" w:hAnsi="Palatino Linotype" w:cs="Arial"/>
          <w:i/>
          <w:sz w:val="22"/>
        </w:rPr>
      </w:pPr>
    </w:p>
    <w:p w:rsidR="008D2422" w:rsidRPr="008B7648" w:rsidRDefault="008D2422" w:rsidP="008D2422">
      <w:pPr>
        <w:pStyle w:val="Prrafodelista"/>
        <w:spacing w:before="240" w:line="360" w:lineRule="auto"/>
        <w:ind w:left="567"/>
        <w:jc w:val="both"/>
        <w:rPr>
          <w:rFonts w:ascii="Palatino Linotype" w:hAnsi="Palatino Linotype" w:cs="Arial"/>
          <w:i/>
          <w:sz w:val="22"/>
        </w:rPr>
      </w:pPr>
      <w:r w:rsidRPr="008B7648">
        <w:rPr>
          <w:rFonts w:ascii="Palatino Linotype" w:hAnsi="Palatino Linotype" w:cs="Arial"/>
          <w:i/>
          <w:sz w:val="22"/>
        </w:rPr>
        <w:t xml:space="preserve">En referencia al numeral </w:t>
      </w:r>
      <w:r w:rsidRPr="008B7648">
        <w:rPr>
          <w:rFonts w:ascii="Palatino Linotype" w:hAnsi="Palatino Linotype" w:cs="Arial"/>
          <w:b/>
          <w:i/>
          <w:sz w:val="22"/>
        </w:rPr>
        <w:t xml:space="preserve">1 </w:t>
      </w:r>
      <w:r w:rsidRPr="008B7648">
        <w:rPr>
          <w:rFonts w:ascii="Palatino Linotype" w:hAnsi="Palatino Linotype" w:cs="Arial"/>
          <w:i/>
          <w:sz w:val="22"/>
        </w:rPr>
        <w:t xml:space="preserve">de no haber quedado firme alguna o todas las quejas referidas, resulta procedente la entrega del acuerdo de clasificación como información reservada. </w:t>
      </w:r>
    </w:p>
    <w:p w:rsidR="008D2422" w:rsidRPr="008B7648" w:rsidRDefault="008D2422" w:rsidP="008D2422">
      <w:pPr>
        <w:pStyle w:val="Prrafodelista"/>
        <w:spacing w:before="240" w:line="360" w:lineRule="auto"/>
        <w:ind w:left="567"/>
        <w:jc w:val="both"/>
        <w:rPr>
          <w:rFonts w:ascii="Palatino Linotype" w:hAnsi="Palatino Linotype" w:cs="Arial"/>
          <w:i/>
          <w:sz w:val="22"/>
        </w:rPr>
      </w:pPr>
    </w:p>
    <w:p w:rsidR="008D2422" w:rsidRPr="008B7648" w:rsidRDefault="008D2422" w:rsidP="008D2422">
      <w:pPr>
        <w:pStyle w:val="Prrafodelista"/>
        <w:spacing w:before="240" w:line="360" w:lineRule="auto"/>
        <w:ind w:left="567"/>
        <w:jc w:val="both"/>
        <w:rPr>
          <w:rFonts w:ascii="Palatino Linotype" w:hAnsi="Palatino Linotype" w:cs="Arial"/>
          <w:i/>
          <w:sz w:val="22"/>
        </w:rPr>
      </w:pPr>
      <w:r w:rsidRPr="008B7648">
        <w:rPr>
          <w:rFonts w:ascii="Palatino Linotype" w:hAnsi="Palatino Linotype" w:cs="Arial"/>
          <w:i/>
          <w:sz w:val="22"/>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rsidR="008D2422" w:rsidRPr="008B7648" w:rsidRDefault="008D2422" w:rsidP="008D2422">
      <w:pPr>
        <w:pStyle w:val="Prrafodelista"/>
        <w:spacing w:before="240" w:line="360" w:lineRule="auto"/>
        <w:ind w:left="567"/>
        <w:jc w:val="both"/>
        <w:rPr>
          <w:rFonts w:ascii="Palatino Linotype" w:hAnsi="Palatino Linotype" w:cs="Arial"/>
          <w:i/>
          <w:sz w:val="22"/>
        </w:rPr>
      </w:pPr>
    </w:p>
    <w:p w:rsidR="00CC0EC5" w:rsidRPr="008B7648"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8B7648">
        <w:rPr>
          <w:rFonts w:ascii="Palatino Linotype" w:hAnsi="Palatino Linotype" w:cs="Arial"/>
          <w:color w:val="000000" w:themeColor="text1"/>
        </w:rPr>
        <w:t xml:space="preserve">Por </w:t>
      </w:r>
      <w:r w:rsidR="007B70C2" w:rsidRPr="008B7648">
        <w:rPr>
          <w:rFonts w:ascii="Palatino Linotype" w:hAnsi="Palatino Linotype" w:cs="Arial"/>
          <w:color w:val="000000" w:themeColor="text1"/>
        </w:rPr>
        <w:t xml:space="preserve">los motivos y las razones de hecho y de derecho que se señalan a continuación y en términos de lo señalado por </w:t>
      </w:r>
      <w:r w:rsidR="00E12C1D" w:rsidRPr="008B7648">
        <w:rPr>
          <w:rFonts w:ascii="Palatino Linotype" w:hAnsi="Palatino Linotype" w:cs="Arial"/>
          <w:color w:val="000000" w:themeColor="text1"/>
        </w:rPr>
        <w:t>el</w:t>
      </w:r>
      <w:r w:rsidR="007B70C2" w:rsidRPr="008B7648">
        <w:rPr>
          <w:rFonts w:ascii="Palatino Linotype" w:hAnsi="Palatino Linotype" w:cs="Arial"/>
          <w:color w:val="000000" w:themeColor="text1"/>
        </w:rPr>
        <w:t xml:space="preserve"> </w:t>
      </w:r>
      <w:r w:rsidR="00E12C1D" w:rsidRPr="008B7648">
        <w:rPr>
          <w:rFonts w:ascii="Palatino Linotype" w:hAnsi="Palatino Linotype" w:cs="Arial"/>
          <w:color w:val="000000" w:themeColor="text1"/>
        </w:rPr>
        <w:t>artículo</w:t>
      </w:r>
      <w:r w:rsidR="007B70C2" w:rsidRPr="008B7648">
        <w:rPr>
          <w:rFonts w:ascii="Palatino Linotype" w:hAnsi="Palatino Linotype" w:cs="Arial"/>
          <w:color w:val="000000" w:themeColor="text1"/>
        </w:rPr>
        <w:t xml:space="preserve"> </w:t>
      </w:r>
      <w:r w:rsidR="00E12C1D" w:rsidRPr="008B7648">
        <w:rPr>
          <w:rFonts w:ascii="Palatino Linotype" w:hAnsi="Palatino Linotype" w:cs="Arial"/>
          <w:color w:val="000000" w:themeColor="text1"/>
        </w:rPr>
        <w:t>14</w:t>
      </w:r>
      <w:r w:rsidR="007B70C2" w:rsidRPr="008B7648">
        <w:rPr>
          <w:rFonts w:ascii="Palatino Linotype" w:hAnsi="Palatino Linotype" w:cs="Arial"/>
          <w:color w:val="000000" w:themeColor="text1"/>
        </w:rPr>
        <w:t xml:space="preserve"> fracción </w:t>
      </w:r>
      <w:r w:rsidR="00E12C1D" w:rsidRPr="008B7648">
        <w:rPr>
          <w:rFonts w:ascii="Palatino Linotype" w:hAnsi="Palatino Linotype" w:cs="Arial"/>
          <w:color w:val="000000" w:themeColor="text1"/>
        </w:rPr>
        <w:t>XI</w:t>
      </w:r>
      <w:r w:rsidR="007B70C2" w:rsidRPr="008B7648">
        <w:rPr>
          <w:rFonts w:ascii="Palatino Linotype" w:hAnsi="Palatino Linotype" w:cs="Arial"/>
          <w:color w:val="000000" w:themeColor="text1"/>
        </w:rPr>
        <w:t xml:space="preserve"> del Reglamento Interior del Instituto de Transparencia y Acceso a la Información Pública del Estado de México y Municipios</w:t>
      </w:r>
      <w:r w:rsidR="000D714D" w:rsidRPr="008B7648">
        <w:rPr>
          <w:rFonts w:ascii="Palatino Linotype" w:hAnsi="Palatino Linotype" w:cs="Arial"/>
          <w:color w:val="000000" w:themeColor="text1"/>
        </w:rPr>
        <w:t>,</w:t>
      </w:r>
      <w:r w:rsidR="007B70C2" w:rsidRPr="008B7648">
        <w:rPr>
          <w:rFonts w:ascii="Palatino Linotype" w:hAnsi="Palatino Linotype" w:cs="Arial"/>
          <w:color w:val="000000" w:themeColor="text1"/>
        </w:rPr>
        <w:t xml:space="preserve"> formulo el presente voto </w:t>
      </w:r>
      <w:r w:rsidR="00E74831" w:rsidRPr="008B7648">
        <w:rPr>
          <w:rFonts w:ascii="Palatino Linotype" w:hAnsi="Palatino Linotype" w:cs="Arial"/>
          <w:color w:val="000000" w:themeColor="text1"/>
        </w:rPr>
        <w:t>particular</w:t>
      </w:r>
      <w:r w:rsidR="007B70C2" w:rsidRPr="008B7648">
        <w:rPr>
          <w:rFonts w:ascii="Palatino Linotype" w:hAnsi="Palatino Linotype" w:cs="Arial"/>
          <w:color w:val="000000" w:themeColor="text1"/>
        </w:rPr>
        <w:t xml:space="preserve">. </w:t>
      </w:r>
    </w:p>
    <w:p w:rsidR="00CC0EC5" w:rsidRPr="008B7648" w:rsidRDefault="00CC0EC5" w:rsidP="00F511B5">
      <w:pPr>
        <w:pStyle w:val="Prrafodelista"/>
        <w:spacing w:line="360" w:lineRule="auto"/>
        <w:rPr>
          <w:rFonts w:ascii="Palatino Linotype" w:hAnsi="Palatino Linotype" w:cs="Arial"/>
          <w:color w:val="000000" w:themeColor="text1"/>
          <w:lang w:val="es-ES"/>
        </w:rPr>
      </w:pPr>
    </w:p>
    <w:p w:rsidR="00FC0B18" w:rsidRPr="008B7648" w:rsidRDefault="007B70C2"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8B7648">
        <w:rPr>
          <w:rFonts w:ascii="Palatino Linotype" w:hAnsi="Palatino Linotype" w:cs="Arial"/>
          <w:color w:val="000000" w:themeColor="text1"/>
          <w:lang w:val="es-ES"/>
        </w:rPr>
        <w:t xml:space="preserve">Al presentar este voto </w:t>
      </w:r>
      <w:r w:rsidR="00A42AB9" w:rsidRPr="008B7648">
        <w:rPr>
          <w:rFonts w:ascii="Palatino Linotype" w:hAnsi="Palatino Linotype" w:cs="Arial"/>
          <w:color w:val="000000" w:themeColor="text1"/>
          <w:lang w:val="es-ES"/>
        </w:rPr>
        <w:t>particular deseo manifestar mi criterio y postura en cuanto al proyecto de resolución que se aprobó en la sesión de pleno antes mencionada.</w:t>
      </w:r>
    </w:p>
    <w:p w:rsidR="00F511B5" w:rsidRPr="008B7648" w:rsidRDefault="00F511B5" w:rsidP="00F511B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A410B3" w:rsidRPr="008B7648" w:rsidRDefault="00A410B3" w:rsidP="00F511B5">
      <w:pPr>
        <w:pStyle w:val="Ttulo1"/>
      </w:pPr>
      <w:bookmarkStart w:id="3" w:name="_Toc473810012"/>
      <w:bookmarkStart w:id="4" w:name="_Toc528784467"/>
      <w:bookmarkStart w:id="5" w:name="_Toc472594392"/>
      <w:bookmarkStart w:id="6" w:name="_Toc485911590"/>
      <w:r w:rsidRPr="008B7648">
        <w:t>De los requerimientos planteados en el recurso de revisión.</w:t>
      </w:r>
      <w:bookmarkEnd w:id="3"/>
      <w:bookmarkEnd w:id="4"/>
    </w:p>
    <w:p w:rsidR="00A410B3" w:rsidRPr="008B7648" w:rsidRDefault="00A410B3" w:rsidP="00F511B5">
      <w:pPr>
        <w:pStyle w:val="Prrafodelista"/>
        <w:spacing w:line="360" w:lineRule="auto"/>
        <w:ind w:left="1080"/>
        <w:jc w:val="both"/>
        <w:rPr>
          <w:rFonts w:ascii="Palatino Linotype" w:hAnsi="Palatino Linotype" w:cs="Arial"/>
          <w:b/>
        </w:rPr>
      </w:pPr>
    </w:p>
    <w:p w:rsidR="00CC0EC5" w:rsidRPr="008B7648" w:rsidRDefault="00CC0EC5" w:rsidP="008D242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8B7648">
        <w:rPr>
          <w:rFonts w:ascii="Palatino Linotype" w:hAnsi="Palatino Linotype" w:cs="Arial"/>
        </w:rPr>
        <w:t xml:space="preserve">El particular requirió del </w:t>
      </w:r>
      <w:r w:rsidRPr="008B7648">
        <w:rPr>
          <w:rFonts w:ascii="Palatino Linotype" w:hAnsi="Palatino Linotype"/>
          <w:b/>
          <w:sz w:val="22"/>
          <w:szCs w:val="22"/>
        </w:rPr>
        <w:t>Sistema de Autopistas, Aeropuertos, Servicios Conexos y Auxiliares del Estado de México</w:t>
      </w:r>
      <w:r w:rsidRPr="008B7648">
        <w:rPr>
          <w:rFonts w:ascii="Palatino Linotype" w:hAnsi="Palatino Linotype" w:cs="Arial"/>
        </w:rPr>
        <w:t xml:space="preserve"> lo siguiente: </w:t>
      </w:r>
      <w:r w:rsidRPr="008B7648">
        <w:rPr>
          <w:rFonts w:ascii="Palatino Linotype" w:hAnsi="Palatino Linotype" w:cs="Arial"/>
          <w:b/>
        </w:rPr>
        <w:t xml:space="preserve"> </w:t>
      </w:r>
    </w:p>
    <w:p w:rsidR="008D2422" w:rsidRPr="008B7648" w:rsidRDefault="008D2422" w:rsidP="008D2422">
      <w:pPr>
        <w:pStyle w:val="Prrafodelist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160" w:line="360" w:lineRule="auto"/>
        <w:contextualSpacing w:val="0"/>
        <w:jc w:val="both"/>
        <w:rPr>
          <w:rFonts w:ascii="Palatino Linotype" w:hAnsi="Palatino Linotype" w:cs="Arial"/>
        </w:rPr>
      </w:pPr>
      <w:r w:rsidRPr="008B7648">
        <w:rPr>
          <w:rFonts w:ascii="Palatino Linotype" w:hAnsi="Palatino Linotype" w:cs="Arial"/>
        </w:rPr>
        <w:t xml:space="preserve">Número de quejas o denuncias promovidas en contra de los jueces de lo familiar adscritos al Distrito Judicial de Toluca, del periodo comprendido del primero de enero de dos mil diez al veinticuatro de agosto de dos mil dieciocho. </w:t>
      </w:r>
    </w:p>
    <w:p w:rsidR="008D2422" w:rsidRPr="008B7648" w:rsidRDefault="008D2422" w:rsidP="008D2422">
      <w:pPr>
        <w:pStyle w:val="Prrafodelist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160" w:line="360" w:lineRule="auto"/>
        <w:contextualSpacing w:val="0"/>
        <w:jc w:val="both"/>
        <w:rPr>
          <w:rFonts w:ascii="Palatino Linotype" w:hAnsi="Palatino Linotype" w:cs="Arial"/>
        </w:rPr>
      </w:pPr>
      <w:r w:rsidRPr="008B7648">
        <w:rPr>
          <w:rFonts w:ascii="Palatino Linotype" w:hAnsi="Palatino Linotype" w:cs="Arial"/>
        </w:rPr>
        <w:lastRenderedPageBreak/>
        <w:t xml:space="preserve">Número de procedimientos de responsabilidad derivados de quejas o denuncias promovidas en contra de los jueces de lo familiar adscritos al Distrito Judicial de Toluca, del periodo comprendido del primero de enero de dos mil diez al veinticuatro de agosto de dos mil dieciocho. </w:t>
      </w:r>
    </w:p>
    <w:p w:rsidR="008D2422" w:rsidRPr="008B7648" w:rsidRDefault="008D2422" w:rsidP="008D2422">
      <w:pPr>
        <w:pStyle w:val="Prrafodelist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160" w:line="360" w:lineRule="auto"/>
        <w:contextualSpacing w:val="0"/>
        <w:jc w:val="both"/>
        <w:rPr>
          <w:rFonts w:ascii="Palatino Linotype" w:hAnsi="Palatino Linotype" w:cs="Arial"/>
        </w:rPr>
      </w:pPr>
      <w:r w:rsidRPr="008B7648">
        <w:rPr>
          <w:rFonts w:ascii="Palatino Linotype" w:hAnsi="Palatino Linotype" w:cs="Arial"/>
        </w:rPr>
        <w:t xml:space="preserve">Consideraciones y puntos resolutivos de las quejas o denuncias promovidas en contra de los jueces de lo familiar adscritos al Distrito Judicial de Toluca en las que se haya determinado responsabilidad y en las que no se haya determinado responsabilidad, del periodo comprendido del primero de enero de dos mil diez al veinticuatro de agosto de dos mil dieciocho. </w:t>
      </w:r>
    </w:p>
    <w:p w:rsidR="008D2422" w:rsidRPr="008B7648" w:rsidRDefault="008D2422" w:rsidP="008D2422">
      <w:pPr>
        <w:pStyle w:val="Prrafodelist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160" w:line="360" w:lineRule="auto"/>
        <w:contextualSpacing w:val="0"/>
        <w:jc w:val="both"/>
        <w:rPr>
          <w:rFonts w:ascii="Palatino Linotype" w:hAnsi="Palatino Linotype" w:cs="Arial"/>
        </w:rPr>
      </w:pPr>
      <w:r w:rsidRPr="008B7648">
        <w:rPr>
          <w:rFonts w:ascii="Palatino Linotype" w:hAnsi="Palatino Linotype" w:cs="Arial"/>
        </w:rPr>
        <w:t xml:space="preserve">Quejas o denuncias promovidas en contra de los C. David </w:t>
      </w:r>
      <w:proofErr w:type="spellStart"/>
      <w:r w:rsidRPr="008B7648">
        <w:rPr>
          <w:rFonts w:ascii="Palatino Linotype" w:hAnsi="Palatino Linotype" w:cs="Arial"/>
        </w:rPr>
        <w:t>Ancira</w:t>
      </w:r>
      <w:proofErr w:type="spellEnd"/>
      <w:r w:rsidRPr="008B7648">
        <w:rPr>
          <w:rFonts w:ascii="Palatino Linotype" w:hAnsi="Palatino Linotype" w:cs="Arial"/>
        </w:rPr>
        <w:t xml:space="preserve"> Martínez y C. </w:t>
      </w:r>
      <w:r w:rsidR="00A24F2A">
        <w:rPr>
          <w:rFonts w:ascii="Palatino Linotype" w:hAnsi="Palatino Linotype" w:cs="Arial"/>
          <w:highlight w:val="black"/>
        </w:rPr>
        <w:t xml:space="preserve">                                           </w:t>
      </w:r>
      <w:r w:rsidRPr="008B7648">
        <w:rPr>
          <w:rFonts w:ascii="Palatino Linotype" w:hAnsi="Palatino Linotype" w:cs="Arial"/>
        </w:rPr>
        <w:t xml:space="preserve">, juez y secretaria de lo familiar, respectivamente. </w:t>
      </w:r>
    </w:p>
    <w:p w:rsidR="008D2422" w:rsidRPr="008B7648" w:rsidRDefault="008D2422" w:rsidP="008D2422">
      <w:pPr>
        <w:pStyle w:val="Prrafodelist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160" w:line="360" w:lineRule="auto"/>
        <w:contextualSpacing w:val="0"/>
        <w:jc w:val="both"/>
        <w:rPr>
          <w:rFonts w:ascii="Palatino Linotype" w:hAnsi="Palatino Linotype" w:cs="Arial"/>
        </w:rPr>
      </w:pPr>
      <w:r w:rsidRPr="008B7648">
        <w:rPr>
          <w:rFonts w:ascii="Palatino Linotype" w:hAnsi="Palatino Linotype" w:cs="Arial"/>
        </w:rPr>
        <w:t xml:space="preserve">Procedimientos de responsabilidad derivados de quejas o denuncias promovidas en contra de los C. David </w:t>
      </w:r>
      <w:proofErr w:type="spellStart"/>
      <w:r w:rsidRPr="008B7648">
        <w:rPr>
          <w:rFonts w:ascii="Palatino Linotype" w:hAnsi="Palatino Linotype" w:cs="Arial"/>
        </w:rPr>
        <w:t>Ancira</w:t>
      </w:r>
      <w:proofErr w:type="spellEnd"/>
      <w:r w:rsidRPr="008B7648">
        <w:rPr>
          <w:rFonts w:ascii="Palatino Linotype" w:hAnsi="Palatino Linotype" w:cs="Arial"/>
        </w:rPr>
        <w:t xml:space="preserve"> Martínez y C. </w:t>
      </w:r>
      <w:r w:rsidR="00A24F2A">
        <w:rPr>
          <w:rFonts w:ascii="Palatino Linotype" w:hAnsi="Palatino Linotype" w:cs="Arial"/>
          <w:highlight w:val="black"/>
        </w:rPr>
        <w:t xml:space="preserve">                                         </w:t>
      </w:r>
      <w:r w:rsidRPr="008B7648">
        <w:rPr>
          <w:rFonts w:ascii="Palatino Linotype" w:hAnsi="Palatino Linotype" w:cs="Arial"/>
        </w:rPr>
        <w:t xml:space="preserve">, juez y secretaria de lo familiar, respectivamente.  </w:t>
      </w:r>
    </w:p>
    <w:p w:rsidR="00A410B3" w:rsidRPr="008B7648" w:rsidRDefault="008D2422" w:rsidP="008D2422">
      <w:pPr>
        <w:pStyle w:val="Prrafodelist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160" w:line="360" w:lineRule="auto"/>
        <w:contextualSpacing w:val="0"/>
        <w:jc w:val="both"/>
        <w:rPr>
          <w:rFonts w:ascii="Palatino Linotype" w:hAnsi="Palatino Linotype" w:cs="Arial"/>
        </w:rPr>
      </w:pPr>
      <w:r w:rsidRPr="008B7648">
        <w:rPr>
          <w:rFonts w:ascii="Palatino Linotype" w:hAnsi="Palatino Linotype" w:cs="Arial"/>
        </w:rPr>
        <w:t xml:space="preserve">Consideraciones y puntos resolutivos de las quejas o denuncias promovidas en contra de los C. David </w:t>
      </w:r>
      <w:proofErr w:type="spellStart"/>
      <w:r w:rsidRPr="008B7648">
        <w:rPr>
          <w:rFonts w:ascii="Palatino Linotype" w:hAnsi="Palatino Linotype" w:cs="Arial"/>
        </w:rPr>
        <w:t>Ancira</w:t>
      </w:r>
      <w:proofErr w:type="spellEnd"/>
      <w:r w:rsidRPr="008B7648">
        <w:rPr>
          <w:rFonts w:ascii="Palatino Linotype" w:hAnsi="Palatino Linotype" w:cs="Arial"/>
        </w:rPr>
        <w:t xml:space="preserve"> Martínez y C. </w:t>
      </w:r>
      <w:r w:rsidR="00A24F2A">
        <w:rPr>
          <w:rFonts w:ascii="Palatino Linotype" w:hAnsi="Palatino Linotype" w:cs="Arial"/>
          <w:highlight w:val="black"/>
        </w:rPr>
        <w:t xml:space="preserve">                                                          </w:t>
      </w:r>
      <w:r w:rsidRPr="008B7648">
        <w:rPr>
          <w:rFonts w:ascii="Palatino Linotype" w:hAnsi="Palatino Linotype" w:cs="Arial"/>
        </w:rPr>
        <w:t>, juez y secretaria de lo familiar, respectivamente.</w:t>
      </w:r>
    </w:p>
    <w:p w:rsidR="008D2422" w:rsidRPr="008B7648" w:rsidRDefault="008D2422" w:rsidP="008D2422">
      <w:pPr>
        <w:pStyle w:val="Prrafodelista"/>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240" w:after="160" w:line="360" w:lineRule="auto"/>
        <w:contextualSpacing w:val="0"/>
        <w:jc w:val="both"/>
        <w:rPr>
          <w:rFonts w:ascii="Palatino Linotype" w:hAnsi="Palatino Linotype" w:cs="Arial"/>
        </w:rPr>
      </w:pPr>
    </w:p>
    <w:p w:rsidR="008D2422" w:rsidRPr="008B7648" w:rsidRDefault="00CC0EC5" w:rsidP="008D2422">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8B7648">
        <w:rPr>
          <w:rFonts w:ascii="Palatino Linotype" w:hAnsi="Palatino Linotype" w:cs="Arial"/>
        </w:rPr>
        <w:lastRenderedPageBreak/>
        <w:t xml:space="preserve">El Sujeto Obligado </w:t>
      </w:r>
      <w:r w:rsidR="008D2422" w:rsidRPr="008B7648">
        <w:rPr>
          <w:rFonts w:ascii="Palatino Linotype" w:hAnsi="Palatino Linotype" w:cs="Arial"/>
        </w:rPr>
        <w:t>en respuesta a la solicitud manifestó que se identificaron 194 quejas, de las cuales se iniciaron 7 procedimientos administrativos</w:t>
      </w:r>
      <w:r w:rsidR="00EF24DA" w:rsidRPr="008B7648">
        <w:rPr>
          <w:rFonts w:ascii="Palatino Linotype" w:hAnsi="Palatino Linotype" w:cs="Arial"/>
        </w:rPr>
        <w:t xml:space="preserve"> y por lo que corresponde al Juez y a la Secretario de los que hace referencia, la información ha sido reservada por un periodo de dos años, toda vez que el procedimiento administrativo no ha quedado firme, siendo esta una causal de reserva de conformidad del artículo 140 fracción VIII de la Ley en materia.</w:t>
      </w:r>
    </w:p>
    <w:p w:rsidR="008D2422" w:rsidRPr="008B7648" w:rsidRDefault="008D2422" w:rsidP="008D2422">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eastAsia="Times New Roman" w:hAnsi="Palatino Linotype"/>
          <w:i/>
          <w:lang w:val="es-ES_tradnl" w:eastAsia="es-ES"/>
        </w:rPr>
      </w:pPr>
    </w:p>
    <w:p w:rsidR="001B6E51" w:rsidRPr="008B7648" w:rsidRDefault="001B6E51"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8B7648">
        <w:rPr>
          <w:rFonts w:ascii="Palatino Linotype" w:hAnsi="Palatino Linotype" w:cs="Arial"/>
        </w:rPr>
        <w:t xml:space="preserve">La parte recurrente, al momento de interponer el recurso de revisión señaló que </w:t>
      </w:r>
      <w:r w:rsidR="00EF24DA" w:rsidRPr="008B7648">
        <w:rPr>
          <w:rFonts w:ascii="Palatino Linotype" w:hAnsi="Palatino Linotype" w:cs="Arial"/>
        </w:rPr>
        <w:t>la respuesta está incompleta, además de que reservó información respecto del juez y secretario en fechas posteriores a la presentación de la solicitud.</w:t>
      </w:r>
    </w:p>
    <w:p w:rsidR="001B6E51" w:rsidRPr="008B7648" w:rsidRDefault="001B6E51" w:rsidP="001B6E51">
      <w:pPr>
        <w:pStyle w:val="Prrafodelista"/>
        <w:rPr>
          <w:rFonts w:ascii="Palatino Linotype" w:hAnsi="Palatino Linotype" w:cs="Arial"/>
        </w:rPr>
      </w:pPr>
    </w:p>
    <w:p w:rsidR="001B6E51" w:rsidRPr="008B7648" w:rsidRDefault="001B6E51"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8B7648">
        <w:rPr>
          <w:rFonts w:ascii="Palatino Linotype" w:hAnsi="Palatino Linotype" w:cs="Arial"/>
        </w:rPr>
        <w:t xml:space="preserve">Por su parte, el Sujeto Obligado al momento de rendir el correspondiente </w:t>
      </w:r>
      <w:r w:rsidR="00EF24DA" w:rsidRPr="008B7648">
        <w:rPr>
          <w:rFonts w:ascii="Palatino Linotype" w:hAnsi="Palatino Linotype" w:cs="Arial"/>
        </w:rPr>
        <w:t>informe justificado ratifico la respuesta primeramente emitida, argumentando la clasificación de reserva.</w:t>
      </w:r>
    </w:p>
    <w:p w:rsidR="007F09C3" w:rsidRPr="008B7648" w:rsidRDefault="007F09C3" w:rsidP="007F09C3">
      <w:pPr>
        <w:pStyle w:val="Prrafodelista"/>
        <w:rPr>
          <w:rFonts w:ascii="Palatino Linotype" w:hAnsi="Palatino Linotype" w:cs="Arial"/>
        </w:rPr>
      </w:pPr>
    </w:p>
    <w:p w:rsidR="007F09C3" w:rsidRPr="008B7648" w:rsidRDefault="007F09C3" w:rsidP="007F09C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864D58" w:rsidRPr="008B7648" w:rsidRDefault="00864D58" w:rsidP="00F511B5">
      <w:pPr>
        <w:pStyle w:val="Ttulo1"/>
      </w:pPr>
      <w:bookmarkStart w:id="7" w:name="_Toc528784468"/>
      <w:r w:rsidRPr="008B7648">
        <w:t xml:space="preserve">De </w:t>
      </w:r>
      <w:bookmarkEnd w:id="5"/>
      <w:bookmarkEnd w:id="6"/>
      <w:r w:rsidR="001B6E51" w:rsidRPr="008B7648">
        <w:t>la información que se solicitó.</w:t>
      </w:r>
      <w:bookmarkEnd w:id="7"/>
    </w:p>
    <w:p w:rsidR="00864D58" w:rsidRPr="008B7648" w:rsidRDefault="00864D58" w:rsidP="00F511B5">
      <w:pPr>
        <w:spacing w:line="360" w:lineRule="auto"/>
        <w:rPr>
          <w:rFonts w:ascii="Palatino Linotype" w:hAnsi="Palatino Linotype"/>
          <w:color w:val="000000" w:themeColor="text1"/>
        </w:rPr>
      </w:pPr>
    </w:p>
    <w:p w:rsidR="001B6E51" w:rsidRPr="008B7648" w:rsidRDefault="001B6E51"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8B7648">
        <w:rPr>
          <w:rFonts w:ascii="Palatino Linotype" w:hAnsi="Palatino Linotype" w:cs="Arial"/>
          <w:color w:val="000000"/>
        </w:rPr>
        <w:t>De la información que se ha solicitado al Sujeto Obligado la ponencia hace referencia a un aspecto que desde el punto particular c</w:t>
      </w:r>
      <w:r w:rsidR="00BC0724" w:rsidRPr="008B7648">
        <w:rPr>
          <w:rFonts w:ascii="Palatino Linotype" w:hAnsi="Palatino Linotype" w:cs="Arial"/>
          <w:color w:val="000000"/>
        </w:rPr>
        <w:t>omparto, siendo que dentro de la información requerida pudiera obrar procedimientos que aún no han quedado firmes y en consecuencia, podría actualizar algún supuesto</w:t>
      </w:r>
      <w:r w:rsidRPr="008B7648">
        <w:rPr>
          <w:rFonts w:ascii="Palatino Linotype" w:hAnsi="Palatino Linotype" w:cs="Arial"/>
          <w:color w:val="000000"/>
        </w:rPr>
        <w:t xml:space="preserve"> del artículo 140, para mejor referencia se inserta su contenido: </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lastRenderedPageBreak/>
        <w:t xml:space="preserve">Artículo 140. </w:t>
      </w:r>
      <w:r w:rsidRPr="008B7648">
        <w:rPr>
          <w:rFonts w:ascii="Palatino Linotype" w:hAnsi="Palatino Linotype" w:cs="Arial"/>
          <w:i/>
          <w:sz w:val="22"/>
          <w:szCs w:val="22"/>
        </w:rPr>
        <w:t>El acceso a la información pública será restringido excepcionalmente, cuando por razones de interés público, ésta sea clasificada como reservada, conforme a los criterios siguientes:</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t xml:space="preserve">I. </w:t>
      </w:r>
      <w:r w:rsidRPr="008B7648">
        <w:rPr>
          <w:rFonts w:ascii="Palatino Linotype" w:hAnsi="Palatino Linotype" w:cs="Arial"/>
          <w:i/>
          <w:sz w:val="22"/>
          <w:szCs w:val="22"/>
        </w:rPr>
        <w:t>Comprometa la seguridad pública y cuente con un propósito genuino y un efecto demostrable;</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t xml:space="preserve">II. </w:t>
      </w:r>
      <w:r w:rsidRPr="008B7648">
        <w:rPr>
          <w:rFonts w:ascii="Palatino Linotype" w:hAnsi="Palatino Linotype" w:cs="Arial"/>
          <w:i/>
          <w:sz w:val="22"/>
          <w:szCs w:val="22"/>
        </w:rPr>
        <w:t>Pueda menoscabar la conducción de las negociaciones y relaciones internacionales;</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t xml:space="preserve">III. </w:t>
      </w:r>
      <w:r w:rsidRPr="008B7648">
        <w:rPr>
          <w:rFonts w:ascii="Palatino Linotype" w:hAnsi="Palatino Linotype" w:cs="Arial"/>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t xml:space="preserve">IV. </w:t>
      </w:r>
      <w:r w:rsidRPr="008B7648">
        <w:rPr>
          <w:rFonts w:ascii="Palatino Linotype" w:hAnsi="Palatino Linotype" w:cs="Arial"/>
          <w:i/>
          <w:sz w:val="22"/>
          <w:szCs w:val="22"/>
        </w:rPr>
        <w:t>Ponga en riesgo la vida, la seguridad o la salud de una persona física;</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t xml:space="preserve">V. </w:t>
      </w:r>
      <w:r w:rsidRPr="008B7648">
        <w:rPr>
          <w:rFonts w:ascii="Palatino Linotype" w:hAnsi="Palatino Linotype" w:cs="Arial"/>
          <w:i/>
          <w:sz w:val="22"/>
          <w:szCs w:val="22"/>
        </w:rPr>
        <w:t>Aquella cuya divulgación obstruya o pueda causar un serio perjuicio a:</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t xml:space="preserve">1. </w:t>
      </w:r>
      <w:r w:rsidRPr="008B7648">
        <w:rPr>
          <w:rFonts w:ascii="Palatino Linotype" w:hAnsi="Palatino Linotype" w:cs="Arial"/>
          <w:i/>
          <w:sz w:val="22"/>
          <w:szCs w:val="22"/>
        </w:rPr>
        <w:t>Las actividades de fiscalización, verificación, inspección, comprobación y auditoría sobre el cumplimiento de las Leyes; o</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t xml:space="preserve">2. </w:t>
      </w:r>
      <w:r w:rsidRPr="008B7648">
        <w:rPr>
          <w:rFonts w:ascii="Palatino Linotype" w:hAnsi="Palatino Linotype" w:cs="Arial"/>
          <w:i/>
          <w:sz w:val="22"/>
          <w:szCs w:val="22"/>
        </w:rPr>
        <w:t>La recaudación de las contribuciones.</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t xml:space="preserve">VI. </w:t>
      </w:r>
      <w:r w:rsidRPr="008B7648">
        <w:rPr>
          <w:rFonts w:ascii="Palatino Linotype" w:hAnsi="Palatino Linotype" w:cs="Arial"/>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lastRenderedPageBreak/>
        <w:t xml:space="preserve">VII. </w:t>
      </w:r>
      <w:r w:rsidRPr="008B7648">
        <w:rPr>
          <w:rFonts w:ascii="Palatino Linotype" w:hAnsi="Palatino Linotype" w:cs="Arial"/>
          <w:i/>
          <w:sz w:val="22"/>
          <w:szCs w:val="22"/>
        </w:rPr>
        <w:t>La que contengan las opiniones, recomendaciones o puntos de vista que formen parte del proceso deliberativo de los servidores públicos, hasta en tanto sea adoptada la decisión definitiva, la cual deberá estar documentada;</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t xml:space="preserve">VIII. </w:t>
      </w:r>
      <w:r w:rsidRPr="008B7648">
        <w:rPr>
          <w:rFonts w:ascii="Palatino Linotype" w:hAnsi="Palatino Linotype" w:cs="Arial"/>
          <w:i/>
          <w:sz w:val="22"/>
          <w:szCs w:val="22"/>
        </w:rPr>
        <w:t>Vulnere la conducción de los expedientes judiciales o de los procedimientos administrativos seguidos en forma de juicio, en tanto no hayan quedado firmes;</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t xml:space="preserve">IX. </w:t>
      </w:r>
      <w:r w:rsidRPr="008B7648">
        <w:rPr>
          <w:rFonts w:ascii="Palatino Linotype" w:hAnsi="Palatino Linotype" w:cs="Arial"/>
          <w:i/>
          <w:sz w:val="22"/>
          <w:szCs w:val="22"/>
        </w:rPr>
        <w:t>Se encuentre contenida dentro de las investigaciones de hechos que la Ley señale como delitos y se tramiten ante el</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i/>
          <w:sz w:val="22"/>
          <w:szCs w:val="22"/>
        </w:rPr>
        <w:t>Ministerio Público;</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t xml:space="preserve">X. </w:t>
      </w:r>
      <w:r w:rsidRPr="008B7648">
        <w:rPr>
          <w:rFonts w:ascii="Palatino Linotype" w:hAnsi="Palatino Linotype" w:cs="Arial"/>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t xml:space="preserve">XI. </w:t>
      </w:r>
      <w:r w:rsidRPr="008B7648">
        <w:rPr>
          <w:rFonts w:ascii="Palatino Linotype" w:hAnsi="Palatino Linotype" w:cs="Arial"/>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1B6E51" w:rsidRPr="008B7648" w:rsidRDefault="001B6E51" w:rsidP="007F09C3">
      <w:pPr>
        <w:autoSpaceDE w:val="0"/>
        <w:autoSpaceDN w:val="0"/>
        <w:adjustRightInd w:val="0"/>
        <w:spacing w:line="360" w:lineRule="auto"/>
        <w:ind w:left="567" w:right="616"/>
        <w:jc w:val="both"/>
        <w:rPr>
          <w:rFonts w:ascii="Palatino Linotype" w:hAnsi="Palatino Linotype" w:cs="Arial"/>
          <w:i/>
          <w:sz w:val="22"/>
          <w:szCs w:val="22"/>
        </w:rPr>
      </w:pPr>
      <w:r w:rsidRPr="008B7648">
        <w:rPr>
          <w:rFonts w:ascii="Palatino Linotype" w:hAnsi="Palatino Linotype" w:cs="Arial"/>
          <w:b/>
          <w:bCs/>
          <w:i/>
          <w:sz w:val="22"/>
          <w:szCs w:val="22"/>
        </w:rPr>
        <w:t xml:space="preserve">Artículo 141. </w:t>
      </w:r>
      <w:r w:rsidRPr="008B7648">
        <w:rPr>
          <w:rFonts w:ascii="Palatino Linotype" w:hAnsi="Palatino Linotype" w:cs="Arial"/>
          <w:i/>
          <w:sz w:val="22"/>
          <w:szCs w:val="22"/>
        </w:rPr>
        <w:t>Las causales de reserva previstas en este Capítulo se deberán fundar y motivar, a través de la aplicación de la prueba de daño a la que se hace referencia en el presente Título.”</w:t>
      </w:r>
    </w:p>
    <w:p w:rsidR="001B6E51" w:rsidRPr="008B7648" w:rsidRDefault="001B6E51" w:rsidP="007F09C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7F09C3" w:rsidRPr="008B7648" w:rsidRDefault="007F09C3" w:rsidP="007F09C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C0EC5" w:rsidRPr="008B7648" w:rsidRDefault="00BC0724" w:rsidP="00BC0724">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8B7648">
        <w:rPr>
          <w:rFonts w:ascii="Palatino Linotype" w:hAnsi="Palatino Linotype" w:cs="Arial"/>
        </w:rPr>
        <w:lastRenderedPageBreak/>
        <w:t xml:space="preserve">Lo anterior, en razón de que la información pudiera actualizar algún supuesto se clasificación como información reservada, por lo tanto, </w:t>
      </w:r>
      <w:r w:rsidR="00CC0EC5" w:rsidRPr="008B7648">
        <w:rPr>
          <w:rFonts w:ascii="Palatino Linotype" w:hAnsi="Palatino Linotype" w:cs="Arial"/>
        </w:rPr>
        <w:t>es menester señalar que el Instituto Nacional de Transparencia y Acceso a la Información y Protección de Datos Personales, en el expediente RIA 82/18, establece que para acreditar la reserva de la información, es necesario actualizar cuatro requisitos, siendo estos los siguientes:</w:t>
      </w:r>
    </w:p>
    <w:p w:rsidR="007F09C3" w:rsidRPr="008B7648" w:rsidRDefault="007F09C3" w:rsidP="007F09C3">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C0EC5" w:rsidRPr="008B7648"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8B7648">
        <w:rPr>
          <w:rFonts w:ascii="Palatino Linotype" w:hAnsi="Palatino Linotype" w:cs="Arial"/>
          <w:b/>
        </w:rPr>
        <w:t xml:space="preserve">La existencia de un juicio o procedimiento administrativo materialmente jurisdiccional. </w:t>
      </w:r>
    </w:p>
    <w:p w:rsidR="0044164A" w:rsidRPr="008B7648"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8B7648">
        <w:rPr>
          <w:rFonts w:ascii="Palatino Linotype" w:hAnsi="Palatino Linotype" w:cs="Arial"/>
          <w:b/>
        </w:rPr>
        <w:t>Que el juicio se encuentre en trámite, es decir, que no haya causado estad.</w:t>
      </w:r>
    </w:p>
    <w:p w:rsidR="00CC0EC5" w:rsidRPr="008B7648" w:rsidRDefault="00CC0EC5" w:rsidP="00DA7E4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8B7648">
        <w:rPr>
          <w:rFonts w:ascii="Palatino Linotype" w:hAnsi="Palatino Linotype" w:cs="Arial"/>
          <w:b/>
        </w:rPr>
        <w:t xml:space="preserve"> El vínculo entre la información solicitada y el procedimiento judicial de que se trate. </w:t>
      </w:r>
    </w:p>
    <w:p w:rsidR="00CC0EC5" w:rsidRPr="008B7648" w:rsidRDefault="00CC0EC5" w:rsidP="00F511B5">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8B7648">
        <w:rPr>
          <w:rFonts w:ascii="Palatino Linotype" w:hAnsi="Palatino Linotype" w:cs="Arial"/>
          <w:b/>
        </w:rPr>
        <w:t xml:space="preserve">Que la difusión de la información pueda causar un daño y/o perjuicio a las atribuciones del Tribunal durante el juicio, es decir, que el contenido de la información vulnere, impida u obstruya los procedimientos que se ventilan. </w:t>
      </w:r>
    </w:p>
    <w:p w:rsidR="00CC0EC5" w:rsidRPr="008B7648" w:rsidRDefault="00CC0EC5" w:rsidP="00F511B5">
      <w:pPr>
        <w:pStyle w:val="Prrafodelista"/>
        <w:spacing w:before="240" w:after="240" w:line="360" w:lineRule="auto"/>
        <w:ind w:left="0" w:right="49"/>
        <w:jc w:val="both"/>
        <w:rPr>
          <w:rFonts w:ascii="Palatino Linotype" w:hAnsi="Palatino Linotype" w:cs="Arial"/>
        </w:rPr>
      </w:pPr>
    </w:p>
    <w:p w:rsidR="00CC0EC5" w:rsidRPr="008B7648"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8B7648">
        <w:rPr>
          <w:rFonts w:ascii="Palatino Linotype" w:hAnsi="Palatino Linotype" w:cs="Arial"/>
        </w:rPr>
        <w:t>Por lo que, únicamente al configurarse los mismos</w:t>
      </w:r>
      <w:r w:rsidR="0044164A" w:rsidRPr="008B7648">
        <w:rPr>
          <w:rFonts w:ascii="Palatino Linotype" w:hAnsi="Palatino Linotype" w:cs="Arial"/>
        </w:rPr>
        <w:t>,</w:t>
      </w:r>
      <w:r w:rsidRPr="008B7648">
        <w:rPr>
          <w:rFonts w:ascii="Palatino Linotype" w:hAnsi="Palatino Linotype" w:cs="Arial"/>
        </w:rPr>
        <w:t xml:space="preserve"> es procedente la reserva de la información, si uno de los requisitos faltase, no será en ningún momento posible su reserva. </w:t>
      </w:r>
    </w:p>
    <w:p w:rsidR="00BC0724" w:rsidRPr="008B7648" w:rsidRDefault="00BC0724" w:rsidP="00BC0724">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jc w:val="both"/>
        <w:rPr>
          <w:rFonts w:ascii="Palatino Linotype" w:hAnsi="Palatino Linotype" w:cs="Arial"/>
        </w:rPr>
      </w:pPr>
    </w:p>
    <w:p w:rsidR="001B6E51" w:rsidRPr="008B7648" w:rsidRDefault="00CC0EC5" w:rsidP="001B6E51">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8B7648">
        <w:rPr>
          <w:rFonts w:ascii="Palatino Linotype" w:hAnsi="Palatino Linotype" w:cs="Arial"/>
        </w:rPr>
        <w:lastRenderedPageBreak/>
        <w:t>Del expediente, objeto de mi presente voto</w:t>
      </w:r>
      <w:r w:rsidR="0044164A" w:rsidRPr="008B7648">
        <w:rPr>
          <w:rFonts w:ascii="Palatino Linotype" w:hAnsi="Palatino Linotype" w:cs="Arial"/>
        </w:rPr>
        <w:t xml:space="preserve"> </w:t>
      </w:r>
      <w:r w:rsidR="001B6E51" w:rsidRPr="008B7648">
        <w:rPr>
          <w:rFonts w:ascii="Palatino Linotype" w:hAnsi="Palatino Linotype" w:cs="Arial"/>
        </w:rPr>
        <w:t xml:space="preserve">particular </w:t>
      </w:r>
      <w:r w:rsidR="001B6E51" w:rsidRPr="008B7648">
        <w:rPr>
          <w:rFonts w:ascii="Palatino Linotype" w:hAnsi="Palatino Linotype" w:cs="Arial"/>
          <w:i/>
        </w:rPr>
        <w:t>–reitero-</w:t>
      </w:r>
      <w:r w:rsidR="001B6E51" w:rsidRPr="008B7648">
        <w:rPr>
          <w:rFonts w:ascii="Palatino Linotype" w:hAnsi="Palatino Linotype" w:cs="Arial"/>
        </w:rPr>
        <w:t xml:space="preserve"> que tras el desconocimiento de la información no se tiene certeza de la misma, sino que previendo tal situación es menester hacer de conocimiento dicha situación del Sujeto Obligado.</w:t>
      </w:r>
    </w:p>
    <w:p w:rsidR="00DA7E45" w:rsidRPr="008B7648" w:rsidRDefault="00DA7E45" w:rsidP="00DA7E45">
      <w:pPr>
        <w:pStyle w:val="Prrafodelista"/>
        <w:rPr>
          <w:rFonts w:ascii="Palatino Linotype" w:hAnsi="Palatino Linotype" w:cs="Arial"/>
        </w:rPr>
      </w:pPr>
    </w:p>
    <w:p w:rsidR="00CC0EC5" w:rsidRPr="008B7648" w:rsidRDefault="00DA7E45" w:rsidP="00DA7E4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sidRPr="008B7648">
        <w:rPr>
          <w:rFonts w:ascii="Palatino Linotype" w:hAnsi="Palatino Linotype" w:cs="Arial"/>
        </w:rPr>
        <w:t>Si bien, comparto que la Ponencia establezca la posible causal de reserva, sin embargo, e</w:t>
      </w:r>
      <w:r w:rsidR="00CC0EC5" w:rsidRPr="008B7648">
        <w:rPr>
          <w:rFonts w:ascii="Palatino Linotype" w:hAnsi="Palatino Linotype" w:cs="Arial"/>
        </w:rPr>
        <w:t xml:space="preserve">s imprescriptible señalar que en el presente año, este Órgano </w:t>
      </w:r>
      <w:proofErr w:type="spellStart"/>
      <w:r w:rsidR="00CC0EC5" w:rsidRPr="008B7648">
        <w:rPr>
          <w:rFonts w:ascii="Palatino Linotype" w:hAnsi="Palatino Linotype" w:cs="Arial"/>
        </w:rPr>
        <w:t>Resolutor</w:t>
      </w:r>
      <w:proofErr w:type="spellEnd"/>
      <w:r w:rsidR="00CC0EC5" w:rsidRPr="008B7648">
        <w:rPr>
          <w:rFonts w:ascii="Palatino Linotype" w:hAnsi="Palatino Linotype" w:cs="Arial"/>
        </w:rPr>
        <w:t xml:space="preserve"> ha sido sometido a un estricto control por parte del Instituto Nacional de Transparencia, Acceso a la Información y Protección de Datos Personales (INAI), como resultado de</w:t>
      </w:r>
      <w:r w:rsidR="0044164A" w:rsidRPr="008B7648">
        <w:rPr>
          <w:rFonts w:ascii="Palatino Linotype" w:hAnsi="Palatino Linotype" w:cs="Arial"/>
        </w:rPr>
        <w:t xml:space="preserve"> </w:t>
      </w:r>
      <w:r w:rsidR="00CC0EC5" w:rsidRPr="008B7648">
        <w:rPr>
          <w:rFonts w:ascii="Palatino Linotype" w:hAnsi="Palatino Linotype" w:cs="Arial"/>
        </w:rPr>
        <w:t>l</w:t>
      </w:r>
      <w:r w:rsidR="0044164A" w:rsidRPr="008B7648">
        <w:rPr>
          <w:rFonts w:ascii="Palatino Linotype" w:hAnsi="Palatino Linotype" w:cs="Arial"/>
        </w:rPr>
        <w:t>os</w:t>
      </w:r>
      <w:r w:rsidR="00CC0EC5" w:rsidRPr="008B7648">
        <w:rPr>
          <w:rFonts w:ascii="Palatino Linotype" w:hAnsi="Palatino Linotype" w:cs="Arial"/>
        </w:rPr>
        <w:t xml:space="preserve"> Recurso</w:t>
      </w:r>
      <w:r w:rsidR="0044164A" w:rsidRPr="008B7648">
        <w:rPr>
          <w:rFonts w:ascii="Palatino Linotype" w:hAnsi="Palatino Linotype" w:cs="Arial"/>
        </w:rPr>
        <w:t>s</w:t>
      </w:r>
      <w:r w:rsidR="00CC0EC5" w:rsidRPr="008B7648">
        <w:rPr>
          <w:rFonts w:ascii="Palatino Linotype" w:hAnsi="Palatino Linotype" w:cs="Arial"/>
        </w:rPr>
        <w:t xml:space="preserve"> de Inconformidad</w:t>
      </w:r>
      <w:r w:rsidR="0044164A" w:rsidRPr="008B7648">
        <w:rPr>
          <w:rFonts w:ascii="Palatino Linotype" w:hAnsi="Palatino Linotype" w:cs="Arial"/>
        </w:rPr>
        <w:t xml:space="preserve"> </w:t>
      </w:r>
      <w:r w:rsidR="0044164A" w:rsidRPr="008B7648">
        <w:rPr>
          <w:rFonts w:ascii="Palatino Linotype" w:hAnsi="Palatino Linotype" w:cs="Arial"/>
          <w:lang w:eastAsia="es-MX"/>
        </w:rPr>
        <w:t>069/18 y RIA 082/18</w:t>
      </w:r>
      <w:r w:rsidR="0044164A" w:rsidRPr="008B7648">
        <w:rPr>
          <w:rFonts w:ascii="Palatino Linotype" w:hAnsi="Palatino Linotype" w:cs="Arial"/>
        </w:rPr>
        <w:t xml:space="preserve">, en los que el Órgano Garante Nacional, puntualmente dirigió a este Órgano Garante local, que para invocar la causal de reserva, se deben de agotar todos y cada uno de los requisitos. </w:t>
      </w:r>
    </w:p>
    <w:p w:rsidR="00CC0EC5" w:rsidRPr="008B7648" w:rsidRDefault="00CC0EC5" w:rsidP="00F511B5">
      <w:pPr>
        <w:pStyle w:val="Prrafodelista"/>
        <w:spacing w:line="360" w:lineRule="auto"/>
        <w:ind w:left="0" w:right="49"/>
        <w:jc w:val="both"/>
        <w:rPr>
          <w:rFonts w:ascii="Palatino Linotype" w:hAnsi="Palatino Linotype" w:cs="Arial"/>
        </w:rPr>
      </w:pPr>
    </w:p>
    <w:p w:rsidR="00CC0EC5" w:rsidRPr="008B7648"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8B7648">
        <w:rPr>
          <w:rFonts w:ascii="Palatino Linotype" w:hAnsi="Palatino Linotype" w:cs="Arial"/>
        </w:rPr>
        <w:t>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w:t>
      </w:r>
    </w:p>
    <w:p w:rsidR="00BC0724" w:rsidRPr="008B7648" w:rsidRDefault="00BC0724" w:rsidP="00BC0724">
      <w:pPr>
        <w:pStyle w:val="Prrafodelista"/>
        <w:rPr>
          <w:rFonts w:ascii="Palatino Linotype" w:hAnsi="Palatino Linotype" w:cs="Arial"/>
        </w:rPr>
      </w:pPr>
    </w:p>
    <w:p w:rsidR="00CC0EC5" w:rsidRPr="008B7648"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8B7648">
        <w:rPr>
          <w:rFonts w:ascii="Palatino Linotype" w:hAnsi="Palatino Linotype" w:cs="Arial"/>
        </w:rPr>
        <w:t>Es necesario señalar que el Derecho de Acceso a la Información (DAI), tiene una justificación clara y precisa que se deriva de un aspecto de singular importancia, ya que lo que tratamos y pretendemos resolver consiste en el ejercicio de un derecho humano constitucional y convencionalmente reconocido.</w:t>
      </w:r>
    </w:p>
    <w:p w:rsidR="00CC0EC5" w:rsidRPr="008B7648" w:rsidRDefault="00CC0EC5" w:rsidP="00F511B5">
      <w:pPr>
        <w:pStyle w:val="Prrafodelista"/>
        <w:spacing w:line="360" w:lineRule="auto"/>
        <w:rPr>
          <w:rFonts w:ascii="Palatino Linotype" w:hAnsi="Palatino Linotype" w:cs="Arial"/>
        </w:rPr>
      </w:pPr>
    </w:p>
    <w:p w:rsidR="00CC0EC5" w:rsidRPr="008B7648"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8B7648">
        <w:rPr>
          <w:rFonts w:ascii="Palatino Linotype" w:hAnsi="Palatino Linotype" w:cs="Arial"/>
        </w:rPr>
        <w:t xml:space="preserve"> Por tanto, al tratar directamente con un derecho humano, todas las autoridades nos vemos impuestas del supremo mandato constitucional consistente en la promoción, respeto, protección y </w:t>
      </w:r>
      <w:r w:rsidRPr="008B7648">
        <w:rPr>
          <w:rFonts w:ascii="Palatino Linotype" w:hAnsi="Palatino Linotype" w:cs="Arial"/>
          <w:b/>
        </w:rPr>
        <w:t>garantía de los derechos humanos</w:t>
      </w:r>
      <w:r w:rsidRPr="008B7648">
        <w:rPr>
          <w:rFonts w:ascii="Palatino Linotype" w:hAnsi="Palatino Linotype" w:cs="Arial"/>
        </w:rPr>
        <w:t>, de tal forma que cualquier esfuerzo que se haga en el sentido de cumplir con dicho mandato no resulta ocioso ni sobra sino demuestra el grado de compromiso de la autoridad con este aspecto toral de la reforma constitucional del 10 de junio de 2011.</w:t>
      </w:r>
    </w:p>
    <w:p w:rsidR="00CC0EC5" w:rsidRPr="008B7648" w:rsidRDefault="00CC0EC5" w:rsidP="00F511B5">
      <w:pPr>
        <w:pStyle w:val="Prrafodelista"/>
        <w:spacing w:before="240" w:after="240" w:line="360" w:lineRule="auto"/>
        <w:ind w:left="0" w:right="49"/>
        <w:jc w:val="both"/>
        <w:rPr>
          <w:rFonts w:ascii="Palatino Linotype" w:hAnsi="Palatino Linotype" w:cs="Arial"/>
        </w:rPr>
      </w:pPr>
    </w:p>
    <w:p w:rsidR="00CC0EC5" w:rsidRPr="008B7648"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8B7648">
        <w:rPr>
          <w:rFonts w:ascii="Palatino Linotype" w:hAnsi="Palatino Linotype" w:cs="Arial"/>
        </w:rPr>
        <w:t xml:space="preserve">En este sentido el Dr. Miguel Carbonell ha señalado que: “Queda claro, en consecuencia, que las obligaciones de promoción, respeto, protección y garantía de los derechos corren a cargo de todos los poderes, incluso </w:t>
      </w:r>
      <w:r w:rsidRPr="008B7648">
        <w:rPr>
          <w:rFonts w:ascii="Palatino Linotype" w:hAnsi="Palatino Linotype" w:cs="Arial"/>
          <w:b/>
        </w:rPr>
        <w:t>considerando que algún nivel de gobierno tenga obligaciones reforzadas hacia ciertos derechos.</w:t>
      </w:r>
      <w:r w:rsidRPr="008B7648">
        <w:rPr>
          <w:rFonts w:ascii="Palatino Linotype" w:hAnsi="Palatino Linotype" w:cs="Arial"/>
        </w:rPr>
        <w:t xml:space="preserve"> A partir de tales deberes generales, podemos afirmar que las autoridades de todos los niveles de gobierno también tienen la obligación positiva de </w:t>
      </w:r>
      <w:r w:rsidRPr="008B7648">
        <w:rPr>
          <w:rFonts w:ascii="Palatino Linotype" w:hAnsi="Palatino Linotype" w:cs="Arial"/>
          <w:b/>
        </w:rPr>
        <w:t>tomar todas las medidas que sean pertinentes para tutelar y hacer eficaz un derecho</w:t>
      </w:r>
      <w:r w:rsidRPr="008B7648">
        <w:rPr>
          <w:rFonts w:ascii="Palatino Linotype" w:hAnsi="Palatino Linotype" w:cs="Arial"/>
        </w:rPr>
        <w:t>”.</w:t>
      </w:r>
      <w:r w:rsidRPr="008B7648">
        <w:rPr>
          <w:rStyle w:val="Refdenotaalpie"/>
          <w:rFonts w:ascii="Palatino Linotype" w:hAnsi="Palatino Linotype" w:cs="Arial"/>
        </w:rPr>
        <w:footnoteReference w:id="1"/>
      </w:r>
    </w:p>
    <w:p w:rsidR="00CC0EC5" w:rsidRPr="008B7648"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8B7648">
        <w:rPr>
          <w:rFonts w:ascii="Palatino Linotype" w:hAnsi="Palatino Linotype" w:cs="Arial"/>
        </w:rPr>
        <w:lastRenderedPageBreak/>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CC0EC5" w:rsidRPr="008B7648" w:rsidRDefault="00CC0EC5" w:rsidP="00F511B5">
      <w:pPr>
        <w:pStyle w:val="Prrafodelista"/>
        <w:spacing w:line="360" w:lineRule="auto"/>
        <w:ind w:left="851" w:right="616"/>
        <w:jc w:val="both"/>
        <w:rPr>
          <w:rFonts w:ascii="Palatino Linotype" w:hAnsi="Palatino Linotype" w:cs="Arial"/>
          <w:sz w:val="22"/>
        </w:rPr>
      </w:pPr>
      <w:r w:rsidRPr="008B7648">
        <w:rPr>
          <w:rFonts w:ascii="Palatino Linotype" w:hAnsi="Palatino Linotype" w:cs="Arial"/>
          <w:sz w:val="22"/>
        </w:rPr>
        <w:t>“Artículo 185. El instituto resolverá el recurso de revisión conforme a lo siguiente:</w:t>
      </w:r>
    </w:p>
    <w:p w:rsidR="00CC0EC5" w:rsidRPr="008B7648" w:rsidRDefault="00CC0EC5" w:rsidP="00F511B5">
      <w:pPr>
        <w:pStyle w:val="Prrafodelista"/>
        <w:spacing w:line="360" w:lineRule="auto"/>
        <w:ind w:left="851" w:right="616"/>
        <w:jc w:val="both"/>
        <w:rPr>
          <w:rFonts w:ascii="Palatino Linotype" w:hAnsi="Palatino Linotype" w:cs="Arial"/>
          <w:sz w:val="22"/>
        </w:rPr>
      </w:pPr>
      <w:r w:rsidRPr="008B7648">
        <w:rPr>
          <w:rFonts w:ascii="Palatino Linotype" w:hAnsi="Palatino Linotype" w:cs="Arial"/>
          <w:sz w:val="22"/>
        </w:rPr>
        <w:t xml:space="preserve">(…) </w:t>
      </w:r>
    </w:p>
    <w:p w:rsidR="00CC0EC5" w:rsidRPr="008B7648" w:rsidRDefault="00CC0EC5" w:rsidP="00F511B5">
      <w:pPr>
        <w:pStyle w:val="Prrafodelista"/>
        <w:spacing w:line="360" w:lineRule="auto"/>
        <w:ind w:left="851" w:right="616"/>
        <w:jc w:val="both"/>
        <w:rPr>
          <w:rFonts w:ascii="Palatino Linotype" w:hAnsi="Palatino Linotype" w:cs="Arial"/>
          <w:sz w:val="22"/>
        </w:rPr>
      </w:pPr>
      <w:r w:rsidRPr="008B7648">
        <w:rPr>
          <w:rFonts w:ascii="Palatino Linotype" w:hAnsi="Palatino Linotype" w:cs="Arial"/>
          <w:sz w:val="22"/>
        </w:rPr>
        <w:t xml:space="preserve">V. La o el Comisionado ponente podrá determinar la celebración de audiencias con las partes durante la sustanciación del proceso. </w:t>
      </w:r>
    </w:p>
    <w:p w:rsidR="00CC0EC5" w:rsidRDefault="00CC0EC5" w:rsidP="00F511B5">
      <w:pPr>
        <w:pStyle w:val="Prrafodelista"/>
        <w:spacing w:line="360" w:lineRule="auto"/>
        <w:ind w:left="851" w:right="616"/>
        <w:jc w:val="both"/>
        <w:rPr>
          <w:rFonts w:ascii="Palatino Linotype" w:hAnsi="Palatino Linotype" w:cs="Arial"/>
          <w:sz w:val="22"/>
        </w:rPr>
      </w:pPr>
      <w:r w:rsidRPr="008B7648">
        <w:rPr>
          <w:rFonts w:ascii="Palatino Linotype" w:hAnsi="Palatino Linotype" w:cs="Arial"/>
          <w:sz w:val="22"/>
        </w:rPr>
        <w:t>(…) “</w:t>
      </w:r>
    </w:p>
    <w:p w:rsidR="008B7648" w:rsidRPr="008B7648" w:rsidRDefault="008B7648" w:rsidP="00F511B5">
      <w:pPr>
        <w:pStyle w:val="Prrafodelista"/>
        <w:spacing w:line="360" w:lineRule="auto"/>
        <w:ind w:left="851" w:right="616"/>
        <w:jc w:val="both"/>
        <w:rPr>
          <w:rFonts w:ascii="Palatino Linotype" w:hAnsi="Palatino Linotype" w:cs="Arial"/>
          <w:sz w:val="22"/>
        </w:rPr>
      </w:pPr>
    </w:p>
    <w:p w:rsidR="00CC0EC5" w:rsidRPr="008B7648" w:rsidRDefault="00CC0EC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8B7648">
        <w:rPr>
          <w:rFonts w:ascii="Palatino Linotype" w:hAnsi="Palatino Linotype" w:cs="Arial"/>
        </w:rPr>
        <w:t xml:space="preserve">En relación con lo anterior, considero que la ponencia </w:t>
      </w:r>
      <w:proofErr w:type="spellStart"/>
      <w:r w:rsidRPr="008B7648">
        <w:rPr>
          <w:rFonts w:ascii="Palatino Linotype" w:hAnsi="Palatino Linotype" w:cs="Arial"/>
        </w:rPr>
        <w:t>resolutora</w:t>
      </w:r>
      <w:proofErr w:type="spellEnd"/>
      <w:r w:rsidRPr="008B7648">
        <w:rPr>
          <w:rFonts w:ascii="Palatino Linotype" w:hAnsi="Palatino Linotype" w:cs="Arial"/>
        </w:rPr>
        <w:t xml:space="preserve"> debió de pronunciarse sobre la naturaleza de lo requerido sin ningún tipo de ambigüedad, es decir, tuvo que determinar si la información tenía el carácter de reserva o no, sin dejarlo al arbitrio del sujeto obligado, efectuando dicho análisis atendiendo a 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con el propósito de dar mayor certeza a la resolución dictada o por el contrario conocer </w:t>
      </w:r>
      <w:r w:rsidRPr="008B7648">
        <w:rPr>
          <w:rFonts w:ascii="Palatino Linotype" w:hAnsi="Palatino Linotype" w:cs="Arial"/>
        </w:rPr>
        <w:lastRenderedPageBreak/>
        <w:t xml:space="preserve">fehacientemente si la información en posesión del sujeto obligado es susceptible de reservarse. </w:t>
      </w:r>
    </w:p>
    <w:p w:rsidR="00DA7E45" w:rsidRPr="008B7648" w:rsidRDefault="00DA7E45" w:rsidP="00DA7E45">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DA7E45" w:rsidRPr="008B7648" w:rsidRDefault="00DA7E45" w:rsidP="00DA7E45">
      <w:pPr>
        <w:pStyle w:val="Ttulo1"/>
      </w:pPr>
      <w:bookmarkStart w:id="8" w:name="_Toc528784469"/>
      <w:r w:rsidRPr="008B7648">
        <w:t>Conclusión.</w:t>
      </w:r>
      <w:bookmarkEnd w:id="8"/>
    </w:p>
    <w:p w:rsidR="00DA7E45" w:rsidRPr="008B7648" w:rsidRDefault="00DA7E45" w:rsidP="00DA7E45"/>
    <w:p w:rsidR="00DA7E45" w:rsidRPr="008B7648" w:rsidRDefault="00DA7E45" w:rsidP="00F511B5">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sidRPr="008B7648">
        <w:rPr>
          <w:rFonts w:ascii="Palatino Linotype" w:hAnsi="Palatino Linotype" w:cs="Arial"/>
        </w:rPr>
        <w:t>La clasificación de la información como reservada, tal y como lo he sostenido en diversas ocasiones, causan una restricción al derecho del particular, es nuestra obligación como Órgano Garante, vigilar que esta restricción sea totalmente legitima y apegada a derecho, es decir, que se encuentra enteramente justificada, de lo contrario, estaríamos incumpliendo el principio de eficacia, no tutelando de manera correcta el derecho de acceso a la información. Es por ello que</w:t>
      </w:r>
      <w:r w:rsidR="00A6727C" w:rsidRPr="008B7648">
        <w:rPr>
          <w:rFonts w:ascii="Palatino Linotype" w:hAnsi="Palatino Linotype" w:cs="Arial"/>
        </w:rPr>
        <w:t>,</w:t>
      </w:r>
      <w:r w:rsidRPr="008B7648">
        <w:rPr>
          <w:rFonts w:ascii="Palatino Linotype" w:hAnsi="Palatino Linotype" w:cs="Arial"/>
        </w:rPr>
        <w:t xml:space="preserve"> en los casos en que la información se pretenda clasificar como reservada, debemos poner mayor énfasis en la revisión de la misma, para determinar si es procedente o no la </w:t>
      </w:r>
      <w:r w:rsidR="00A6727C" w:rsidRPr="008B7648">
        <w:rPr>
          <w:rFonts w:ascii="Palatino Linotype" w:hAnsi="Palatino Linotype" w:cs="Arial"/>
        </w:rPr>
        <w:t xml:space="preserve">pretendida </w:t>
      </w:r>
      <w:r w:rsidRPr="008B7648">
        <w:rPr>
          <w:rFonts w:ascii="Palatino Linotype" w:hAnsi="Palatino Linotype" w:cs="Arial"/>
        </w:rPr>
        <w:t>clasificación.</w:t>
      </w:r>
    </w:p>
    <w:p w:rsidR="00CC0EC5" w:rsidRPr="008B7648" w:rsidRDefault="00CC0EC5" w:rsidP="00F511B5">
      <w:pPr>
        <w:pStyle w:val="Prrafodelista"/>
        <w:spacing w:line="360" w:lineRule="auto"/>
        <w:ind w:left="360"/>
        <w:jc w:val="both"/>
        <w:rPr>
          <w:rFonts w:ascii="Palatino Linotype" w:hAnsi="Palatino Linotype" w:cs="Arial"/>
        </w:rPr>
      </w:pPr>
    </w:p>
    <w:p w:rsidR="00DA7E45" w:rsidRPr="008B7648" w:rsidRDefault="00DA7E45" w:rsidP="00F511B5">
      <w:pPr>
        <w:pStyle w:val="Prrafodelista"/>
        <w:spacing w:line="360" w:lineRule="auto"/>
        <w:rPr>
          <w:rFonts w:ascii="Palatino Linotype" w:hAnsi="Palatino Linotype" w:cs="Arial"/>
        </w:rPr>
      </w:pPr>
    </w:p>
    <w:p w:rsidR="007F09C3" w:rsidRPr="008B7648" w:rsidRDefault="007F09C3" w:rsidP="00F511B5">
      <w:pPr>
        <w:pStyle w:val="Prrafodelista"/>
        <w:spacing w:line="360" w:lineRule="auto"/>
        <w:rPr>
          <w:rFonts w:ascii="Palatino Linotype" w:hAnsi="Palatino Linotype" w:cs="Arial"/>
        </w:rPr>
      </w:pPr>
    </w:p>
    <w:p w:rsidR="007F09C3" w:rsidRDefault="007F09C3" w:rsidP="00F511B5">
      <w:pPr>
        <w:spacing w:line="360" w:lineRule="auto"/>
        <w:jc w:val="both"/>
        <w:rPr>
          <w:rFonts w:ascii="Palatino Linotype" w:hAnsi="Palatino Linotype" w:cs="Arial"/>
        </w:rPr>
      </w:pPr>
    </w:p>
    <w:p w:rsidR="008063FC" w:rsidRPr="008B7648" w:rsidRDefault="008063FC" w:rsidP="00F511B5">
      <w:pPr>
        <w:spacing w:line="360" w:lineRule="auto"/>
        <w:jc w:val="both"/>
        <w:rPr>
          <w:rFonts w:ascii="Palatino Linotype" w:hAnsi="Palatino Linotype" w:cs="Arial"/>
        </w:rPr>
      </w:pPr>
    </w:p>
    <w:p w:rsidR="00CC0EC5" w:rsidRPr="008B7648" w:rsidRDefault="00CC0EC5" w:rsidP="00F511B5">
      <w:pPr>
        <w:pStyle w:val="Sinespaciado"/>
        <w:spacing w:line="360" w:lineRule="auto"/>
        <w:jc w:val="center"/>
        <w:rPr>
          <w:rFonts w:ascii="Palatino Linotype" w:hAnsi="Palatino Linotype"/>
          <w:b/>
          <w:sz w:val="24"/>
          <w:szCs w:val="24"/>
        </w:rPr>
      </w:pPr>
      <w:r w:rsidRPr="008B7648">
        <w:rPr>
          <w:rFonts w:ascii="Palatino Linotype" w:hAnsi="Palatino Linotype"/>
          <w:b/>
          <w:sz w:val="24"/>
          <w:szCs w:val="24"/>
        </w:rPr>
        <w:t>JOSÉ GUADALUPE LUNA HERNÁNDEZ</w:t>
      </w:r>
    </w:p>
    <w:p w:rsidR="00CC0EC5" w:rsidRPr="008B7648" w:rsidRDefault="00CC0EC5" w:rsidP="00F511B5">
      <w:pPr>
        <w:spacing w:line="360" w:lineRule="auto"/>
        <w:jc w:val="center"/>
        <w:rPr>
          <w:rFonts w:ascii="Palatino Linotype" w:hAnsi="Palatino Linotype"/>
          <w:b/>
        </w:rPr>
      </w:pPr>
      <w:r w:rsidRPr="008B7648">
        <w:rPr>
          <w:rFonts w:ascii="Palatino Linotype" w:hAnsi="Palatino Linotype"/>
          <w:b/>
        </w:rPr>
        <w:t>COMISIONADO</w:t>
      </w:r>
    </w:p>
    <w:p w:rsidR="00F511B5" w:rsidRPr="00E74831" w:rsidRDefault="00DA7E45" w:rsidP="00DA7E45">
      <w:pPr>
        <w:spacing w:line="360" w:lineRule="auto"/>
        <w:rPr>
          <w:rFonts w:ascii="Palatino Linotype" w:hAnsi="Palatino Linotype" w:cs="Arial"/>
          <w:b/>
        </w:rPr>
      </w:pPr>
      <w:r w:rsidRPr="008B7648">
        <w:rPr>
          <w:rFonts w:ascii="Palatino Linotype" w:hAnsi="Palatino Linotype"/>
          <w:b/>
        </w:rPr>
        <w:t>JGLH/ADM.</w:t>
      </w:r>
    </w:p>
    <w:sectPr w:rsidR="00F511B5" w:rsidRPr="00E74831" w:rsidSect="007631ED">
      <w:headerReference w:type="even" r:id="rId8"/>
      <w:headerReference w:type="default" r:id="rId9"/>
      <w:footerReference w:type="even" r:id="rId10"/>
      <w:footerReference w:type="default" r:id="rId11"/>
      <w:headerReference w:type="first" r:id="rId12"/>
      <w:footerReference w:type="first" r:id="rId13"/>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E4F" w:rsidRDefault="00D04E4F" w:rsidP="00ED7332">
      <w:r>
        <w:separator/>
      </w:r>
    </w:p>
  </w:endnote>
  <w:endnote w:type="continuationSeparator" w:id="0">
    <w:p w:rsidR="00D04E4F" w:rsidRDefault="00D04E4F"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B9" w:rsidRDefault="00A42AB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A24F2A">
              <w:rPr>
                <w:rFonts w:ascii="Palatino Linotype" w:hAnsi="Palatino Linotype"/>
                <w:b/>
                <w:bCs/>
                <w:noProof/>
                <w:sz w:val="20"/>
                <w:szCs w:val="20"/>
              </w:rPr>
              <w:t>12</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A24F2A">
              <w:rPr>
                <w:rFonts w:ascii="Palatino Linotype" w:hAnsi="Palatino Linotype"/>
                <w:b/>
                <w:bCs/>
                <w:noProof/>
                <w:sz w:val="20"/>
                <w:szCs w:val="20"/>
              </w:rPr>
              <w:t>13</w:t>
            </w:r>
            <w:r w:rsidRPr="0052203D">
              <w:rPr>
                <w:rFonts w:ascii="Palatino Linotype" w:hAnsi="Palatino Linotype"/>
                <w:b/>
                <w:bCs/>
                <w:sz w:val="20"/>
                <w:szCs w:val="20"/>
              </w:rPr>
              <w:fldChar w:fldCharType="end"/>
            </w:r>
          </w:p>
        </w:sdtContent>
      </w:sdt>
    </w:sdtContent>
  </w:sdt>
  <w:p w:rsidR="00951E8B" w:rsidRDefault="00D04E4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AB9" w:rsidRDefault="00A42A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E4F" w:rsidRDefault="00D04E4F" w:rsidP="00ED7332">
      <w:r>
        <w:separator/>
      </w:r>
    </w:p>
  </w:footnote>
  <w:footnote w:type="continuationSeparator" w:id="0">
    <w:p w:rsidR="00D04E4F" w:rsidRDefault="00D04E4F" w:rsidP="00ED7332">
      <w:r>
        <w:continuationSeparator/>
      </w:r>
    </w:p>
  </w:footnote>
  <w:footnote w:id="1">
    <w:p w:rsidR="00CC0EC5" w:rsidRDefault="00CC0EC5" w:rsidP="00CC0EC5">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04E4F">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69376" o:spid="_x0000_s2062" type="#_x0000_t136" style="position:absolute;margin-left:0;margin-top:0;width:541.8pt;height:81.2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04E4F">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69377" o:spid="_x0000_s2063" type="#_x0000_t136" style="position:absolute;margin-left:0;margin-top:0;width:541.8pt;height:81.2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D04E4F">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869375" o:spid="_x0000_s2061" type="#_x0000_t136" style="position:absolute;margin-left:0;margin-top:0;width:541.8pt;height:81.2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3">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1">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9581AA7"/>
    <w:multiLevelType w:val="hybridMultilevel"/>
    <w:tmpl w:val="7DB2B2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8">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1">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2">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4">
    <w:nsid w:val="4E641F14"/>
    <w:multiLevelType w:val="hybridMultilevel"/>
    <w:tmpl w:val="03285C4C"/>
    <w:lvl w:ilvl="0" w:tplc="39001DD0">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7202FA"/>
    <w:multiLevelType w:val="hybridMultilevel"/>
    <w:tmpl w:val="7A3E2C98"/>
    <w:lvl w:ilvl="0" w:tplc="2F484048">
      <w:start w:val="1"/>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31">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8">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9">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2">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0"/>
  </w:num>
  <w:num w:numId="3">
    <w:abstractNumId w:val="42"/>
  </w:num>
  <w:num w:numId="4">
    <w:abstractNumId w:val="8"/>
  </w:num>
  <w:num w:numId="5">
    <w:abstractNumId w:val="17"/>
  </w:num>
  <w:num w:numId="6">
    <w:abstractNumId w:val="3"/>
  </w:num>
  <w:num w:numId="7">
    <w:abstractNumId w:val="27"/>
  </w:num>
  <w:num w:numId="8">
    <w:abstractNumId w:val="45"/>
  </w:num>
  <w:num w:numId="9">
    <w:abstractNumId w:val="21"/>
  </w:num>
  <w:num w:numId="10">
    <w:abstractNumId w:val="2"/>
  </w:num>
  <w:num w:numId="11">
    <w:abstractNumId w:val="0"/>
  </w:num>
  <w:num w:numId="12">
    <w:abstractNumId w:val="26"/>
  </w:num>
  <w:num w:numId="13">
    <w:abstractNumId w:val="5"/>
  </w:num>
  <w:num w:numId="14">
    <w:abstractNumId w:val="40"/>
  </w:num>
  <w:num w:numId="15">
    <w:abstractNumId w:val="39"/>
  </w:num>
  <w:num w:numId="16">
    <w:abstractNumId w:val="23"/>
  </w:num>
  <w:num w:numId="17">
    <w:abstractNumId w:val="12"/>
  </w:num>
  <w:num w:numId="18">
    <w:abstractNumId w:val="9"/>
  </w:num>
  <w:num w:numId="19">
    <w:abstractNumId w:val="41"/>
  </w:num>
  <w:num w:numId="20">
    <w:abstractNumId w:val="20"/>
  </w:num>
  <w:num w:numId="21">
    <w:abstractNumId w:val="43"/>
  </w:num>
  <w:num w:numId="22">
    <w:abstractNumId w:val="14"/>
  </w:num>
  <w:num w:numId="23">
    <w:abstractNumId w:val="18"/>
  </w:num>
  <w:num w:numId="24">
    <w:abstractNumId w:val="31"/>
  </w:num>
  <w:num w:numId="25">
    <w:abstractNumId w:val="22"/>
  </w:num>
  <w:num w:numId="26">
    <w:abstractNumId w:val="4"/>
  </w:num>
  <w:num w:numId="27">
    <w:abstractNumId w:val="11"/>
  </w:num>
  <w:num w:numId="28">
    <w:abstractNumId w:val="30"/>
  </w:num>
  <w:num w:numId="29">
    <w:abstractNumId w:val="13"/>
  </w:num>
  <w:num w:numId="30">
    <w:abstractNumId w:val="36"/>
  </w:num>
  <w:num w:numId="31">
    <w:abstractNumId w:val="29"/>
  </w:num>
  <w:num w:numId="32">
    <w:abstractNumId w:val="38"/>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0"/>
  </w:num>
  <w:num w:numId="36">
    <w:abstractNumId w:val="32"/>
  </w:num>
  <w:num w:numId="37">
    <w:abstractNumId w:val="24"/>
  </w:num>
  <w:num w:numId="38">
    <w:abstractNumId w:val="33"/>
  </w:num>
  <w:num w:numId="39">
    <w:abstractNumId w:val="25"/>
  </w:num>
  <w:num w:numId="40">
    <w:abstractNumId w:val="35"/>
  </w:num>
  <w:num w:numId="41">
    <w:abstractNumId w:val="44"/>
  </w:num>
  <w:num w:numId="42">
    <w:abstractNumId w:val="24"/>
    <w:lvlOverride w:ilvl="0">
      <w:startOverride w:val="4"/>
    </w:lvlOverride>
  </w:num>
  <w:num w:numId="43">
    <w:abstractNumId w:val="1"/>
  </w:num>
  <w:num w:numId="44">
    <w:abstractNumId w:val="34"/>
  </w:num>
  <w:num w:numId="45">
    <w:abstractNumId w:val="19"/>
  </w:num>
  <w:num w:numId="46">
    <w:abstractNumId w:val="37"/>
  </w:num>
  <w:num w:numId="47">
    <w:abstractNumId w:val="15"/>
  </w:num>
  <w:num w:numId="48">
    <w:abstractNumId w:val="7"/>
  </w:num>
  <w:num w:numId="49">
    <w:abstractNumId w:val="6"/>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12F59"/>
    <w:rsid w:val="000350F9"/>
    <w:rsid w:val="00045EDE"/>
    <w:rsid w:val="00074B24"/>
    <w:rsid w:val="00075028"/>
    <w:rsid w:val="0009296B"/>
    <w:rsid w:val="000963B3"/>
    <w:rsid w:val="00097AD7"/>
    <w:rsid w:val="000B0E25"/>
    <w:rsid w:val="000D714D"/>
    <w:rsid w:val="000E7EE8"/>
    <w:rsid w:val="000F1159"/>
    <w:rsid w:val="000F2AC8"/>
    <w:rsid w:val="00103510"/>
    <w:rsid w:val="00115126"/>
    <w:rsid w:val="0015416E"/>
    <w:rsid w:val="00160BB6"/>
    <w:rsid w:val="0016141F"/>
    <w:rsid w:val="00161D60"/>
    <w:rsid w:val="00170FB4"/>
    <w:rsid w:val="00173575"/>
    <w:rsid w:val="00187C5A"/>
    <w:rsid w:val="00196F24"/>
    <w:rsid w:val="001A2F06"/>
    <w:rsid w:val="001B6E51"/>
    <w:rsid w:val="001C6C91"/>
    <w:rsid w:val="001E2E42"/>
    <w:rsid w:val="001E2F7E"/>
    <w:rsid w:val="001F0577"/>
    <w:rsid w:val="00203272"/>
    <w:rsid w:val="00203354"/>
    <w:rsid w:val="002252EC"/>
    <w:rsid w:val="00230BB9"/>
    <w:rsid w:val="002528A4"/>
    <w:rsid w:val="00253251"/>
    <w:rsid w:val="00255331"/>
    <w:rsid w:val="0026502D"/>
    <w:rsid w:val="00266515"/>
    <w:rsid w:val="00274977"/>
    <w:rsid w:val="002813E1"/>
    <w:rsid w:val="00290D96"/>
    <w:rsid w:val="002A3A54"/>
    <w:rsid w:val="002D1347"/>
    <w:rsid w:val="002E4EAD"/>
    <w:rsid w:val="002F0112"/>
    <w:rsid w:val="003061F2"/>
    <w:rsid w:val="00313DBF"/>
    <w:rsid w:val="003331EE"/>
    <w:rsid w:val="00343467"/>
    <w:rsid w:val="003503B0"/>
    <w:rsid w:val="00364D1A"/>
    <w:rsid w:val="00364E7F"/>
    <w:rsid w:val="003672A4"/>
    <w:rsid w:val="003765B0"/>
    <w:rsid w:val="0038405F"/>
    <w:rsid w:val="003A43CE"/>
    <w:rsid w:val="003A68B3"/>
    <w:rsid w:val="003C68B6"/>
    <w:rsid w:val="003D1215"/>
    <w:rsid w:val="003D513F"/>
    <w:rsid w:val="003F71B7"/>
    <w:rsid w:val="00421FE8"/>
    <w:rsid w:val="004252DB"/>
    <w:rsid w:val="00430106"/>
    <w:rsid w:val="0044164A"/>
    <w:rsid w:val="00441C40"/>
    <w:rsid w:val="0044710A"/>
    <w:rsid w:val="0045099A"/>
    <w:rsid w:val="00482790"/>
    <w:rsid w:val="004915D5"/>
    <w:rsid w:val="004A6948"/>
    <w:rsid w:val="004A75D5"/>
    <w:rsid w:val="004C4360"/>
    <w:rsid w:val="004D1629"/>
    <w:rsid w:val="004F719D"/>
    <w:rsid w:val="0050137A"/>
    <w:rsid w:val="00503141"/>
    <w:rsid w:val="0052203D"/>
    <w:rsid w:val="00557948"/>
    <w:rsid w:val="00577A92"/>
    <w:rsid w:val="00586E51"/>
    <w:rsid w:val="005A09A1"/>
    <w:rsid w:val="005A55B8"/>
    <w:rsid w:val="005E6E1A"/>
    <w:rsid w:val="00614828"/>
    <w:rsid w:val="00630699"/>
    <w:rsid w:val="00633DCF"/>
    <w:rsid w:val="00635965"/>
    <w:rsid w:val="0063753D"/>
    <w:rsid w:val="006409B3"/>
    <w:rsid w:val="00642F7C"/>
    <w:rsid w:val="00644DC3"/>
    <w:rsid w:val="006500A4"/>
    <w:rsid w:val="00651B65"/>
    <w:rsid w:val="00696E58"/>
    <w:rsid w:val="006E2911"/>
    <w:rsid w:val="00711276"/>
    <w:rsid w:val="007226CE"/>
    <w:rsid w:val="007455F7"/>
    <w:rsid w:val="007631ED"/>
    <w:rsid w:val="00763471"/>
    <w:rsid w:val="00774A7F"/>
    <w:rsid w:val="00774D46"/>
    <w:rsid w:val="0077794D"/>
    <w:rsid w:val="007A4E77"/>
    <w:rsid w:val="007A6A25"/>
    <w:rsid w:val="007A76AC"/>
    <w:rsid w:val="007B194A"/>
    <w:rsid w:val="007B1C16"/>
    <w:rsid w:val="007B70C2"/>
    <w:rsid w:val="007C25E8"/>
    <w:rsid w:val="007F09C3"/>
    <w:rsid w:val="007F5BB2"/>
    <w:rsid w:val="008063FC"/>
    <w:rsid w:val="0081168F"/>
    <w:rsid w:val="00811FF8"/>
    <w:rsid w:val="00835B3B"/>
    <w:rsid w:val="0084548A"/>
    <w:rsid w:val="008517AF"/>
    <w:rsid w:val="00864D58"/>
    <w:rsid w:val="00876E43"/>
    <w:rsid w:val="00880EB4"/>
    <w:rsid w:val="00894FAC"/>
    <w:rsid w:val="008A78F1"/>
    <w:rsid w:val="008B29B7"/>
    <w:rsid w:val="008B2AC8"/>
    <w:rsid w:val="008B50DE"/>
    <w:rsid w:val="008B70FB"/>
    <w:rsid w:val="008B7317"/>
    <w:rsid w:val="008B7648"/>
    <w:rsid w:val="008B7D1A"/>
    <w:rsid w:val="008C3561"/>
    <w:rsid w:val="008D2422"/>
    <w:rsid w:val="008F1F4E"/>
    <w:rsid w:val="008F3587"/>
    <w:rsid w:val="0090198C"/>
    <w:rsid w:val="009332A7"/>
    <w:rsid w:val="00940BE8"/>
    <w:rsid w:val="00941946"/>
    <w:rsid w:val="00952EB7"/>
    <w:rsid w:val="00962AB3"/>
    <w:rsid w:val="0097464F"/>
    <w:rsid w:val="0099042C"/>
    <w:rsid w:val="009D5E66"/>
    <w:rsid w:val="009E3209"/>
    <w:rsid w:val="009E7D34"/>
    <w:rsid w:val="00A00AC5"/>
    <w:rsid w:val="00A249AB"/>
    <w:rsid w:val="00A24F2A"/>
    <w:rsid w:val="00A31B0C"/>
    <w:rsid w:val="00A31B5F"/>
    <w:rsid w:val="00A3395D"/>
    <w:rsid w:val="00A36FB9"/>
    <w:rsid w:val="00A410B3"/>
    <w:rsid w:val="00A42AB9"/>
    <w:rsid w:val="00A527F0"/>
    <w:rsid w:val="00A604F4"/>
    <w:rsid w:val="00A6727C"/>
    <w:rsid w:val="00A84932"/>
    <w:rsid w:val="00A94904"/>
    <w:rsid w:val="00AA6448"/>
    <w:rsid w:val="00AE112C"/>
    <w:rsid w:val="00AE1FD6"/>
    <w:rsid w:val="00B06084"/>
    <w:rsid w:val="00B079D3"/>
    <w:rsid w:val="00B305DB"/>
    <w:rsid w:val="00B35501"/>
    <w:rsid w:val="00B64221"/>
    <w:rsid w:val="00B82DF9"/>
    <w:rsid w:val="00B847C6"/>
    <w:rsid w:val="00BA7541"/>
    <w:rsid w:val="00BC0724"/>
    <w:rsid w:val="00BC23A5"/>
    <w:rsid w:val="00BD7E40"/>
    <w:rsid w:val="00BE1AF8"/>
    <w:rsid w:val="00C04ABD"/>
    <w:rsid w:val="00C36B1F"/>
    <w:rsid w:val="00C37D34"/>
    <w:rsid w:val="00C50FC5"/>
    <w:rsid w:val="00C648C5"/>
    <w:rsid w:val="00C64CFF"/>
    <w:rsid w:val="00C7087D"/>
    <w:rsid w:val="00C74DDE"/>
    <w:rsid w:val="00C8234C"/>
    <w:rsid w:val="00C87E9E"/>
    <w:rsid w:val="00C96160"/>
    <w:rsid w:val="00CA5AFE"/>
    <w:rsid w:val="00CB13A7"/>
    <w:rsid w:val="00CB19F7"/>
    <w:rsid w:val="00CB3643"/>
    <w:rsid w:val="00CC0EC5"/>
    <w:rsid w:val="00CD3F2D"/>
    <w:rsid w:val="00CE058D"/>
    <w:rsid w:val="00CF16BC"/>
    <w:rsid w:val="00D04E4F"/>
    <w:rsid w:val="00D075E8"/>
    <w:rsid w:val="00D0774E"/>
    <w:rsid w:val="00D212CB"/>
    <w:rsid w:val="00D349C5"/>
    <w:rsid w:val="00D37C48"/>
    <w:rsid w:val="00D420C4"/>
    <w:rsid w:val="00D570BC"/>
    <w:rsid w:val="00D74377"/>
    <w:rsid w:val="00D976D8"/>
    <w:rsid w:val="00DA7E45"/>
    <w:rsid w:val="00DB5AF7"/>
    <w:rsid w:val="00DC3D1C"/>
    <w:rsid w:val="00DC613F"/>
    <w:rsid w:val="00DE28AC"/>
    <w:rsid w:val="00DE7C9B"/>
    <w:rsid w:val="00DE7DF6"/>
    <w:rsid w:val="00E042EC"/>
    <w:rsid w:val="00E043DE"/>
    <w:rsid w:val="00E06C70"/>
    <w:rsid w:val="00E12C1D"/>
    <w:rsid w:val="00E25072"/>
    <w:rsid w:val="00E4540E"/>
    <w:rsid w:val="00E60C19"/>
    <w:rsid w:val="00E67744"/>
    <w:rsid w:val="00E74831"/>
    <w:rsid w:val="00E80889"/>
    <w:rsid w:val="00EA4216"/>
    <w:rsid w:val="00EA734D"/>
    <w:rsid w:val="00EB46CE"/>
    <w:rsid w:val="00EB6A73"/>
    <w:rsid w:val="00EC781B"/>
    <w:rsid w:val="00ED2F56"/>
    <w:rsid w:val="00ED5776"/>
    <w:rsid w:val="00ED7332"/>
    <w:rsid w:val="00EE3F52"/>
    <w:rsid w:val="00EF24DA"/>
    <w:rsid w:val="00EF4D4D"/>
    <w:rsid w:val="00EF7BFC"/>
    <w:rsid w:val="00F15D14"/>
    <w:rsid w:val="00F3413E"/>
    <w:rsid w:val="00F42F5D"/>
    <w:rsid w:val="00F436A4"/>
    <w:rsid w:val="00F511B5"/>
    <w:rsid w:val="00F56E5B"/>
    <w:rsid w:val="00F63F46"/>
    <w:rsid w:val="00F71FF7"/>
    <w:rsid w:val="00F73EA1"/>
    <w:rsid w:val="00F742C0"/>
    <w:rsid w:val="00F75AE7"/>
    <w:rsid w:val="00F77503"/>
    <w:rsid w:val="00FB534E"/>
    <w:rsid w:val="00FC0B18"/>
    <w:rsid w:val="00FC148F"/>
    <w:rsid w:val="00FE3075"/>
    <w:rsid w:val="00FE5FB6"/>
    <w:rsid w:val="00FE7484"/>
    <w:rsid w:val="00FF3D64"/>
    <w:rsid w:val="00FF4B33"/>
    <w:rsid w:val="00FF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44164A"/>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44164A"/>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575CE-ADC4-4AC2-A335-B7FE7498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2477</Words>
  <Characters>13624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2018-12-10T20:06:00Z</cp:lastPrinted>
  <dcterms:created xsi:type="dcterms:W3CDTF">2018-11-05T19:58:00Z</dcterms:created>
  <dcterms:modified xsi:type="dcterms:W3CDTF">2019-01-30T20:43:00Z</dcterms:modified>
</cp:coreProperties>
</file>